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D639E" w14:textId="77777777" w:rsidR="002B5A00" w:rsidRPr="00D60C8C" w:rsidRDefault="003F61DA" w:rsidP="000D0F77">
      <w:pPr>
        <w:spacing w:line="25" w:lineRule="atLeast"/>
        <w:rPr>
          <w:sz w:val="40"/>
        </w:rPr>
      </w:pPr>
      <w:r>
        <w:rPr>
          <w:rFonts w:ascii="Times New Roman" w:hAnsi="Times New Roman"/>
          <w:noProof/>
          <w:sz w:val="2"/>
          <w:szCs w:val="2"/>
          <w:lang w:eastAsia="en-AU"/>
        </w:rPr>
        <w:drawing>
          <wp:anchor distT="0" distB="0" distL="114300" distR="114300" simplePos="0" relativeHeight="251663360" behindDoc="0" locked="0" layoutInCell="1" allowOverlap="1" wp14:anchorId="3BAADDE4" wp14:editId="250F57DC">
            <wp:simplePos x="0" y="0"/>
            <wp:positionH relativeFrom="column">
              <wp:posOffset>808990</wp:posOffset>
            </wp:positionH>
            <wp:positionV relativeFrom="paragraph">
              <wp:posOffset>-252730</wp:posOffset>
            </wp:positionV>
            <wp:extent cx="6087110" cy="571500"/>
            <wp:effectExtent l="0" t="0" r="8890" b="0"/>
            <wp:wrapNone/>
            <wp:docPr id="2" name="Picture 0" descr="Logo with tagline extended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with tagline extended RGB.jpg"/>
                    <pic:cNvPicPr>
                      <a:picLocks noChangeAspect="1" noChangeArrowheads="1"/>
                    </pic:cNvPicPr>
                  </pic:nvPicPr>
                  <pic:blipFill>
                    <a:blip r:embed="rId11" cstate="print"/>
                    <a:srcRect/>
                    <a:stretch>
                      <a:fillRect/>
                    </a:stretch>
                  </pic:blipFill>
                  <pic:spPr bwMode="auto">
                    <a:xfrm>
                      <a:off x="0" y="0"/>
                      <a:ext cx="6087110" cy="571500"/>
                    </a:xfrm>
                    <a:prstGeom prst="rect">
                      <a:avLst/>
                    </a:prstGeom>
                    <a:noFill/>
                  </pic:spPr>
                </pic:pic>
              </a:graphicData>
            </a:graphic>
          </wp:anchor>
        </w:drawing>
      </w:r>
      <w:r w:rsidR="002B5A00">
        <w:rPr>
          <w:rFonts w:ascii="Times New Roman" w:hAnsi="Times New Roman"/>
          <w:noProof/>
          <w:sz w:val="2"/>
          <w:szCs w:val="2"/>
          <w:lang w:eastAsia="en-AU"/>
        </w:rPr>
        <w:drawing>
          <wp:anchor distT="0" distB="0" distL="114300" distR="114300" simplePos="0" relativeHeight="251662336" behindDoc="0" locked="0" layoutInCell="1" allowOverlap="1" wp14:anchorId="58AA5934" wp14:editId="1A2D0845">
            <wp:simplePos x="0" y="0"/>
            <wp:positionH relativeFrom="page">
              <wp:posOffset>0</wp:posOffset>
            </wp:positionH>
            <wp:positionV relativeFrom="page">
              <wp:posOffset>0</wp:posOffset>
            </wp:positionV>
            <wp:extent cx="1619250" cy="10696575"/>
            <wp:effectExtent l="19050" t="0" r="0" b="0"/>
            <wp:wrapSquare wrapText="bothSides"/>
            <wp:docPr id="6" name="Picture 8" descr="VSG Patter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G Pattern 2.jpg"/>
                    <pic:cNvPicPr>
                      <a:picLocks noChangeAspect="1" noChangeArrowheads="1"/>
                    </pic:cNvPicPr>
                  </pic:nvPicPr>
                  <pic:blipFill>
                    <a:blip r:embed="rId12" cstate="print"/>
                    <a:srcRect/>
                    <a:stretch>
                      <a:fillRect/>
                    </a:stretch>
                  </pic:blipFill>
                  <pic:spPr bwMode="auto">
                    <a:xfrm>
                      <a:off x="0" y="0"/>
                      <a:ext cx="1619250" cy="10696575"/>
                    </a:xfrm>
                    <a:prstGeom prst="rect">
                      <a:avLst/>
                    </a:prstGeom>
                    <a:noFill/>
                  </pic:spPr>
                </pic:pic>
              </a:graphicData>
            </a:graphic>
          </wp:anchor>
        </w:drawing>
      </w:r>
      <w:r w:rsidR="00CF31E7">
        <w:rPr>
          <w:noProof/>
          <w:sz w:val="40"/>
          <w:lang w:eastAsia="en-AU"/>
        </w:rPr>
        <mc:AlternateContent>
          <mc:Choice Requires="wps">
            <w:drawing>
              <wp:anchor distT="0" distB="0" distL="114300" distR="114300" simplePos="0" relativeHeight="251661312" behindDoc="0" locked="0" layoutInCell="1" allowOverlap="1" wp14:anchorId="4CA2F384" wp14:editId="2264EE7D">
                <wp:simplePos x="0" y="0"/>
                <wp:positionH relativeFrom="column">
                  <wp:posOffset>-1141095</wp:posOffset>
                </wp:positionH>
                <wp:positionV relativeFrom="page">
                  <wp:posOffset>914400</wp:posOffset>
                </wp:positionV>
                <wp:extent cx="989965" cy="3886200"/>
                <wp:effectExtent l="1905" t="0" r="0" b="0"/>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8862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1DA6" w14:textId="77777777" w:rsidR="00D84E6A" w:rsidRPr="00E92220" w:rsidRDefault="00D84E6A" w:rsidP="002B5A00">
                            <w:pPr>
                              <w:rPr>
                                <w:color w:val="003B65"/>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2F384" id="_x0000_t202" coordsize="21600,21600" o:spt="202" path="m,l,21600r21600,l21600,xe">
                <v:stroke joinstyle="miter"/>
                <v:path gradientshapeok="t" o:connecttype="rect"/>
              </v:shapetype>
              <v:shape id="Text Box 3" o:spid="_x0000_s1026" type="#_x0000_t202" style="position:absolute;margin-left:-89.85pt;margin-top:1in;width:77.9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" filled="f" fillcolor="silver" stroked="f">
                <v:textbox style="layout-flow:vertical;mso-layout-flow-alt:bottom-to-top">
                  <w:txbxContent>
                    <w:p w14:paraId="5DBD1DA6" w14:textId="77777777" w:rsidR="00D84E6A" w:rsidRPr="00E92220" w:rsidRDefault="00D84E6A" w:rsidP="002B5A00">
                      <w:pPr>
                        <w:rPr>
                          <w:color w:val="003B65"/>
                        </w:rPr>
                      </w:pPr>
                    </w:p>
                  </w:txbxContent>
                </v:textbox>
                <w10:wrap type="square" anchory="page"/>
              </v:shape>
            </w:pict>
          </mc:Fallback>
        </mc:AlternateContent>
      </w:r>
    </w:p>
    <w:p w14:paraId="0303ACB2" w14:textId="77777777" w:rsidR="002B5A00" w:rsidRPr="00D60C8C" w:rsidRDefault="002B5A00" w:rsidP="000D0F77">
      <w:pPr>
        <w:spacing w:line="25" w:lineRule="atLeast"/>
        <w:rPr>
          <w:sz w:val="40"/>
        </w:rPr>
      </w:pPr>
    </w:p>
    <w:p w14:paraId="3F04EBBA" w14:textId="77777777" w:rsidR="002B5A00" w:rsidRPr="00D60C8C" w:rsidRDefault="002B5A00" w:rsidP="000D0F77">
      <w:pPr>
        <w:spacing w:line="25" w:lineRule="atLeast"/>
        <w:rPr>
          <w:sz w:val="40"/>
        </w:rPr>
      </w:pPr>
    </w:p>
    <w:p w14:paraId="3AD407DA" w14:textId="77777777" w:rsidR="002B5A00" w:rsidRDefault="002B5A00" w:rsidP="000D0F77">
      <w:pPr>
        <w:spacing w:line="25" w:lineRule="atLeast"/>
        <w:rPr>
          <w:sz w:val="40"/>
        </w:rPr>
      </w:pPr>
    </w:p>
    <w:p w14:paraId="733E1966" w14:textId="77777777" w:rsidR="002B5A00" w:rsidRPr="00D60C8C" w:rsidRDefault="002B5A00" w:rsidP="000D0F77">
      <w:pPr>
        <w:spacing w:line="25" w:lineRule="atLeast"/>
        <w:rPr>
          <w:sz w:val="40"/>
        </w:rPr>
      </w:pPr>
    </w:p>
    <w:p w14:paraId="30614AC7" w14:textId="77777777" w:rsidR="002B5A00" w:rsidRPr="00D60C8C" w:rsidRDefault="002B5A00" w:rsidP="000D0F77">
      <w:pPr>
        <w:spacing w:line="25" w:lineRule="atLeast"/>
        <w:rPr>
          <w:sz w:val="40"/>
        </w:rPr>
      </w:pPr>
    </w:p>
    <w:p w14:paraId="1F7E7D5A" w14:textId="77777777" w:rsidR="002B5A00" w:rsidRPr="00D60C8C" w:rsidRDefault="002B5A00" w:rsidP="000D0F77">
      <w:pPr>
        <w:spacing w:line="25" w:lineRule="atLeast"/>
        <w:rPr>
          <w:sz w:val="40"/>
        </w:rPr>
      </w:pPr>
    </w:p>
    <w:p w14:paraId="529B9CFE" w14:textId="77777777" w:rsidR="002B5A00" w:rsidRPr="00D60C8C" w:rsidRDefault="002B5A00" w:rsidP="000D0F77">
      <w:pPr>
        <w:spacing w:line="25" w:lineRule="atLeast"/>
        <w:rPr>
          <w:sz w:val="40"/>
        </w:rPr>
      </w:pPr>
    </w:p>
    <w:p w14:paraId="36E29810" w14:textId="77777777" w:rsidR="002B5A00" w:rsidRPr="00D60C8C" w:rsidRDefault="002B5A00" w:rsidP="000D0F77">
      <w:pPr>
        <w:spacing w:line="25" w:lineRule="atLeast"/>
        <w:rPr>
          <w:sz w:val="40"/>
        </w:rPr>
      </w:pPr>
    </w:p>
    <w:p w14:paraId="2DF064D9" w14:textId="77777777" w:rsidR="002B5A00" w:rsidRDefault="002B5A00" w:rsidP="000D0F77">
      <w:pPr>
        <w:spacing w:line="25" w:lineRule="atLeast"/>
        <w:rPr>
          <w:sz w:val="40"/>
        </w:rPr>
      </w:pPr>
    </w:p>
    <w:p w14:paraId="7A5993CC" w14:textId="77777777" w:rsidR="002B5A00" w:rsidRPr="00D60C8C" w:rsidRDefault="002B5A00" w:rsidP="000D0F77">
      <w:pPr>
        <w:spacing w:line="25" w:lineRule="atLeast"/>
        <w:rPr>
          <w:sz w:val="40"/>
        </w:rPr>
      </w:pPr>
    </w:p>
    <w:p w14:paraId="5987F770" w14:textId="77777777" w:rsidR="002B5A00" w:rsidRPr="00E23350" w:rsidRDefault="003F61DA" w:rsidP="000D0F77">
      <w:pPr>
        <w:spacing w:after="200" w:line="25" w:lineRule="atLeast"/>
        <w:rPr>
          <w:caps/>
          <w:color w:val="003767"/>
          <w:sz w:val="38"/>
          <w:szCs w:val="38"/>
          <w:lang w:val="en-US"/>
        </w:rPr>
      </w:pPr>
      <w:bookmarkStart w:id="0" w:name="_GoBack"/>
      <w:r>
        <w:rPr>
          <w:caps/>
          <w:color w:val="003767"/>
          <w:sz w:val="38"/>
          <w:szCs w:val="38"/>
          <w:lang w:val="en-US"/>
        </w:rPr>
        <w:t xml:space="preserve">WEB BASED </w:t>
      </w:r>
      <w:r w:rsidR="007969B8">
        <w:rPr>
          <w:caps/>
          <w:color w:val="003767"/>
          <w:sz w:val="38"/>
          <w:szCs w:val="38"/>
          <w:lang w:val="en-US"/>
        </w:rPr>
        <w:t>FHI</w:t>
      </w:r>
      <w:r w:rsidR="001660FB">
        <w:rPr>
          <w:caps/>
          <w:color w:val="003767"/>
          <w:sz w:val="38"/>
          <w:szCs w:val="38"/>
          <w:lang w:val="en-US"/>
        </w:rPr>
        <w:t xml:space="preserve"> – Functional Specification</w:t>
      </w:r>
      <w:r w:rsidR="005E3445">
        <w:rPr>
          <w:caps/>
          <w:color w:val="003767"/>
          <w:sz w:val="38"/>
          <w:szCs w:val="38"/>
          <w:lang w:val="en-US"/>
        </w:rPr>
        <w:t xml:space="preserve"> </w:t>
      </w:r>
      <w:r w:rsidR="00F805C4">
        <w:rPr>
          <w:caps/>
          <w:color w:val="003767"/>
          <w:sz w:val="38"/>
          <w:szCs w:val="38"/>
          <w:lang w:val="en-US"/>
        </w:rPr>
        <w:t xml:space="preserve">            </w:t>
      </w:r>
    </w:p>
    <w:bookmarkEnd w:id="0"/>
    <w:p w14:paraId="502C671E" w14:textId="77777777" w:rsidR="007D20A6" w:rsidRPr="007D20A6" w:rsidRDefault="00BD7C95" w:rsidP="000D0F77">
      <w:pPr>
        <w:spacing w:after="200" w:line="25" w:lineRule="atLeast"/>
        <w:rPr>
          <w:caps/>
          <w:color w:val="003767"/>
          <w:sz w:val="28"/>
          <w:szCs w:val="28"/>
          <w:lang w:val="en-US"/>
        </w:rPr>
      </w:pPr>
      <w:r>
        <w:rPr>
          <w:caps/>
          <w:color w:val="003767"/>
          <w:sz w:val="28"/>
          <w:szCs w:val="28"/>
          <w:lang w:val="en-US"/>
        </w:rPr>
        <w:t>Department of local government &amp; Communities</w:t>
      </w:r>
    </w:p>
    <w:p w14:paraId="527CC529" w14:textId="77777777" w:rsidR="002B5A00" w:rsidRDefault="002B5A00" w:rsidP="000D0F77">
      <w:pPr>
        <w:spacing w:after="200" w:line="25" w:lineRule="atLeast"/>
        <w:rPr>
          <w:sz w:val="40"/>
          <w:szCs w:val="40"/>
          <w:lang w:val="en-US"/>
        </w:rPr>
      </w:pPr>
    </w:p>
    <w:p w14:paraId="17A498E1" w14:textId="77777777" w:rsidR="002B5A00" w:rsidRPr="006A5C32" w:rsidRDefault="002B5A00" w:rsidP="000D0F77">
      <w:pPr>
        <w:spacing w:after="200" w:line="25" w:lineRule="atLeast"/>
        <w:rPr>
          <w:sz w:val="40"/>
          <w:szCs w:val="40"/>
          <w:lang w:val="en-US"/>
        </w:rPr>
      </w:pPr>
    </w:p>
    <w:p w14:paraId="2089A131" w14:textId="77777777" w:rsidR="002B5A00" w:rsidRPr="002B5A00" w:rsidRDefault="00CF31E7" w:rsidP="000D0F77">
      <w:pPr>
        <w:spacing w:after="200" w:line="25" w:lineRule="atLeast"/>
        <w:rPr>
          <w:color w:val="003767"/>
          <w:sz w:val="40"/>
          <w:szCs w:val="40"/>
          <w:lang w:val="en-US"/>
        </w:rPr>
        <w:sectPr w:rsidR="002B5A00" w:rsidRPr="002B5A00" w:rsidSect="002B5A00">
          <w:headerReference w:type="default" r:id="rId13"/>
          <w:footerReference w:type="even" r:id="rId14"/>
          <w:footerReference w:type="first" r:id="rId15"/>
          <w:pgSz w:w="11907" w:h="16840" w:code="9"/>
          <w:pgMar w:top="1418" w:right="1418" w:bottom="1418" w:left="1418" w:header="709" w:footer="709" w:gutter="0"/>
          <w:cols w:space="708"/>
          <w:titlePg/>
          <w:docGrid w:linePitch="360"/>
        </w:sectPr>
      </w:pPr>
      <w:r>
        <w:rPr>
          <w:noProof/>
          <w:sz w:val="40"/>
          <w:lang w:eastAsia="en-AU"/>
        </w:rPr>
        <w:lastRenderedPageBreak/>
        <mc:AlternateContent>
          <mc:Choice Requires="wps">
            <w:drawing>
              <wp:anchor distT="0" distB="0" distL="114300" distR="114300" simplePos="0" relativeHeight="251660288" behindDoc="0" locked="0" layoutInCell="1" allowOverlap="1" wp14:anchorId="151DFB98" wp14:editId="3A49A2F4">
                <wp:simplePos x="0" y="0"/>
                <wp:positionH relativeFrom="column">
                  <wp:posOffset>-1141095</wp:posOffset>
                </wp:positionH>
                <wp:positionV relativeFrom="page">
                  <wp:posOffset>900430</wp:posOffset>
                </wp:positionV>
                <wp:extent cx="989965" cy="3886200"/>
                <wp:effectExtent l="1905" t="0" r="0" b="44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8862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33398" w14:textId="77777777" w:rsidR="00D84E6A" w:rsidRDefault="00D84E6A" w:rsidP="002B5A00">
                            <w:pPr>
                              <w:jc w:val="right"/>
                            </w:pPr>
                          </w:p>
                          <w:p w14:paraId="4EEF3D7D" w14:textId="77777777" w:rsidR="00D84E6A" w:rsidRPr="002623FD" w:rsidRDefault="00D84E6A" w:rsidP="002B5A00">
                            <w:pPr>
                              <w:ind w:firstLine="720"/>
                              <w:rPr>
                                <w:rFonts w:cs="Arial"/>
                                <w:bCs/>
                                <w:color w:val="FFFFFF"/>
                                <w:szCs w:val="20"/>
                              </w:rPr>
                            </w:pPr>
                            <w:r w:rsidRPr="002623FD">
                              <w:rPr>
                                <w:rFonts w:cs="Arial"/>
                                <w:bCs/>
                                <w:color w:val="FFFFFF"/>
                                <w:szCs w:val="20"/>
                              </w:rPr>
                              <w:t>WESTERN AUSTRALIAN</w:t>
                            </w:r>
                          </w:p>
                          <w:p w14:paraId="4B16B435" w14:textId="77777777" w:rsidR="00D84E6A" w:rsidRPr="00CF31E7" w:rsidRDefault="00D84E6A" w:rsidP="002B5A00">
                            <w:pPr>
                              <w:pStyle w:val="BodyText2"/>
                              <w:jc w:val="right"/>
                              <w:rPr>
                                <w:rFonts w:cs="Arial"/>
                                <w:b w:val="0"/>
                                <w:color w:val="FFFFFF"/>
                              </w:rPr>
                            </w:pPr>
                            <w:r w:rsidRPr="002623FD">
                              <w:rPr>
                                <w:rFonts w:cs="Arial"/>
                                <w:b w:val="0"/>
                                <w:color w:val="FFFFFF"/>
                                <w:szCs w:val="40"/>
                              </w:rPr>
                              <w:t>TREASURY CORPORATION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DFB98" id="Text Box 2" o:spid="_x0000_s1027" type="#_x0000_t202" style="position:absolute;margin-left:-89.85pt;margin-top:70.9pt;width:77.9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" filled="f" fillcolor="silver" stroked="f">
                <v:textbox style="layout-flow:vertical;mso-layout-flow-alt:bottom-to-top">
                  <w:txbxContent>
                    <w:p w14:paraId="6C533398" w14:textId="77777777" w:rsidR="00D84E6A" w:rsidRDefault="00D84E6A" w:rsidP="002B5A00">
                      <w:pPr>
                        <w:jc w:val="right"/>
                      </w:pPr>
                    </w:p>
                    <w:p w14:paraId="4EEF3D7D" w14:textId="77777777" w:rsidR="00D84E6A" w:rsidRPr="002623FD" w:rsidRDefault="00D84E6A" w:rsidP="002B5A00">
                      <w:pPr>
                        <w:ind w:firstLine="720"/>
                        <w:rPr>
                          <w:rFonts w:cs="Arial"/>
                          <w:bCs/>
                          <w:color w:val="FFFFFF"/>
                          <w:szCs w:val="20"/>
                        </w:rPr>
                      </w:pPr>
                      <w:r w:rsidRPr="002623FD">
                        <w:rPr>
                          <w:rFonts w:cs="Arial"/>
                          <w:bCs/>
                          <w:color w:val="FFFFFF"/>
                          <w:szCs w:val="20"/>
                        </w:rPr>
                        <w:t>WESTERN AUSTRALIAN</w:t>
                      </w:r>
                    </w:p>
                    <w:p w14:paraId="4B16B435" w14:textId="77777777" w:rsidR="00D84E6A" w:rsidRPr="00CF31E7" w:rsidRDefault="00D84E6A" w:rsidP="002B5A00">
                      <w:pPr>
                        <w:pStyle w:val="BodyText2"/>
                        <w:jc w:val="right"/>
                        <w:rPr>
                          <w:rFonts w:cs="Arial"/>
                          <w:b w:val="0"/>
                          <w:color w:val="FFFFFF"/>
                        </w:rPr>
                      </w:pPr>
                      <w:r w:rsidRPr="002623FD">
                        <w:rPr>
                          <w:rFonts w:cs="Arial"/>
                          <w:b w:val="0"/>
                          <w:color w:val="FFFFFF"/>
                          <w:szCs w:val="40"/>
                        </w:rPr>
                        <w:t>TREASURY CORPORATION</w:t>
                      </w:r>
                    </w:p>
                  </w:txbxContent>
                </v:textbox>
                <w10:wrap type="square" anchory="page"/>
              </v:shape>
            </w:pict>
          </mc:Fallback>
        </mc:AlternateContent>
      </w:r>
      <w:r w:rsidR="00E46A0A">
        <w:rPr>
          <w:color w:val="003767"/>
          <w:sz w:val="40"/>
          <w:szCs w:val="40"/>
          <w:lang w:val="en-US"/>
        </w:rPr>
        <w:t>February 2016</w:t>
      </w:r>
    </w:p>
    <w:p w14:paraId="5AF9AA25" w14:textId="77777777" w:rsidR="003647FD" w:rsidRPr="006843DB" w:rsidRDefault="003647FD" w:rsidP="003647FD">
      <w:pPr>
        <w:spacing w:line="25" w:lineRule="atLeast"/>
        <w:rPr>
          <w:rFonts w:cs="Arial"/>
          <w:b/>
          <w:color w:val="003B65"/>
          <w:sz w:val="32"/>
          <w:szCs w:val="32"/>
        </w:rPr>
      </w:pPr>
      <w:r w:rsidRPr="006843DB">
        <w:rPr>
          <w:rFonts w:cs="Arial"/>
          <w:b/>
          <w:color w:val="003B65"/>
          <w:sz w:val="32"/>
          <w:szCs w:val="32"/>
        </w:rPr>
        <w:lastRenderedPageBreak/>
        <w:t>Table of Contents</w:t>
      </w:r>
    </w:p>
    <w:p w14:paraId="37012303" w14:textId="77777777" w:rsidR="003647FD" w:rsidRPr="00947F04" w:rsidRDefault="003647FD" w:rsidP="003647FD">
      <w:pPr>
        <w:pBdr>
          <w:bottom w:val="single" w:sz="12" w:space="1" w:color="auto"/>
        </w:pBdr>
        <w:spacing w:line="25" w:lineRule="atLeast"/>
        <w:rPr>
          <w:rFonts w:cs="Arial"/>
          <w:b/>
          <w:sz w:val="28"/>
          <w:szCs w:val="28"/>
        </w:rPr>
      </w:pPr>
    </w:p>
    <w:p w14:paraId="41A8EE33" w14:textId="77777777" w:rsidR="003647FD" w:rsidRDefault="003647FD" w:rsidP="003647FD">
      <w:pPr>
        <w:pStyle w:val="TOC1"/>
        <w:rPr>
          <w:rFonts w:asciiTheme="minorHAnsi" w:eastAsiaTheme="minorEastAsia" w:hAnsiTheme="minorHAnsi" w:cstheme="minorBidi"/>
          <w:b w:val="0"/>
          <w:bCs w:val="0"/>
          <w:caps w:val="0"/>
          <w:noProof/>
          <w:sz w:val="22"/>
          <w:szCs w:val="22"/>
          <w:lang w:eastAsia="en-AU"/>
        </w:rPr>
      </w:pPr>
      <w:r w:rsidRPr="00C64216">
        <w:rPr>
          <w:sz w:val="18"/>
        </w:rPr>
        <w:fldChar w:fldCharType="begin"/>
      </w:r>
      <w:r w:rsidRPr="00C64216">
        <w:rPr>
          <w:sz w:val="18"/>
        </w:rPr>
        <w:instrText xml:space="preserve"> TOC \o "1-1" \h \z \t "Heading 2,2,Style Heading 2 + Left Right:  -0.32 cm,2,Heading 3 + from H2,3" </w:instrText>
      </w:r>
      <w:r w:rsidRPr="00C64216">
        <w:rPr>
          <w:sz w:val="18"/>
        </w:rPr>
        <w:fldChar w:fldCharType="separate"/>
      </w:r>
      <w:hyperlink w:anchor="_Toc442946963" w:history="1">
        <w:r w:rsidRPr="00C02B83">
          <w:rPr>
            <w:rStyle w:val="Hyperlink"/>
            <w:noProof/>
            <w:lang w:eastAsia="en-AU"/>
          </w:rPr>
          <w:t>Introduction</w:t>
        </w:r>
        <w:r>
          <w:rPr>
            <w:noProof/>
            <w:webHidden/>
          </w:rPr>
          <w:tab/>
        </w:r>
        <w:r>
          <w:rPr>
            <w:noProof/>
            <w:webHidden/>
          </w:rPr>
          <w:fldChar w:fldCharType="begin"/>
        </w:r>
        <w:r>
          <w:rPr>
            <w:noProof/>
            <w:webHidden/>
          </w:rPr>
          <w:instrText xml:space="preserve"> PAGEREF _Toc442946963 \h </w:instrText>
        </w:r>
        <w:r>
          <w:rPr>
            <w:noProof/>
            <w:webHidden/>
          </w:rPr>
        </w:r>
        <w:r>
          <w:rPr>
            <w:noProof/>
            <w:webHidden/>
          </w:rPr>
          <w:fldChar w:fldCharType="separate"/>
        </w:r>
        <w:r>
          <w:rPr>
            <w:noProof/>
            <w:webHidden/>
          </w:rPr>
          <w:t>3</w:t>
        </w:r>
        <w:r>
          <w:rPr>
            <w:noProof/>
            <w:webHidden/>
          </w:rPr>
          <w:fldChar w:fldCharType="end"/>
        </w:r>
      </w:hyperlink>
    </w:p>
    <w:p w14:paraId="08C6F8A4" w14:textId="77777777" w:rsidR="003647FD" w:rsidRDefault="009D2910" w:rsidP="003647FD">
      <w:pPr>
        <w:pStyle w:val="TOC1"/>
        <w:rPr>
          <w:rFonts w:asciiTheme="minorHAnsi" w:eastAsiaTheme="minorEastAsia" w:hAnsiTheme="minorHAnsi" w:cstheme="minorBidi"/>
          <w:b w:val="0"/>
          <w:bCs w:val="0"/>
          <w:caps w:val="0"/>
          <w:noProof/>
          <w:sz w:val="22"/>
          <w:szCs w:val="22"/>
          <w:lang w:eastAsia="en-AU"/>
        </w:rPr>
      </w:pPr>
      <w:hyperlink w:anchor="_Toc442946964" w:history="1">
        <w:r w:rsidR="003647FD" w:rsidRPr="00C02B83">
          <w:rPr>
            <w:rStyle w:val="Hyperlink"/>
            <w:noProof/>
            <w:lang w:eastAsia="en-AU"/>
          </w:rPr>
          <w:t>1</w:t>
        </w:r>
        <w:r w:rsidR="003647FD">
          <w:rPr>
            <w:rFonts w:asciiTheme="minorHAnsi" w:eastAsiaTheme="minorEastAsia" w:hAnsiTheme="minorHAnsi" w:cstheme="minorBidi"/>
            <w:b w:val="0"/>
            <w:bCs w:val="0"/>
            <w:caps w:val="0"/>
            <w:noProof/>
            <w:sz w:val="22"/>
            <w:szCs w:val="22"/>
            <w:lang w:eastAsia="en-AU"/>
          </w:rPr>
          <w:tab/>
        </w:r>
        <w:r w:rsidR="003647FD" w:rsidRPr="00C02B83">
          <w:rPr>
            <w:rStyle w:val="Hyperlink"/>
            <w:noProof/>
            <w:lang w:eastAsia="en-AU"/>
          </w:rPr>
          <w:t>Data</w:t>
        </w:r>
        <w:r w:rsidR="003647FD">
          <w:rPr>
            <w:noProof/>
            <w:webHidden/>
          </w:rPr>
          <w:tab/>
        </w:r>
        <w:r w:rsidR="003647FD">
          <w:rPr>
            <w:noProof/>
            <w:webHidden/>
          </w:rPr>
          <w:fldChar w:fldCharType="begin"/>
        </w:r>
        <w:r w:rsidR="003647FD">
          <w:rPr>
            <w:noProof/>
            <w:webHidden/>
          </w:rPr>
          <w:instrText xml:space="preserve"> PAGEREF _Toc442946964 \h </w:instrText>
        </w:r>
        <w:r w:rsidR="003647FD">
          <w:rPr>
            <w:noProof/>
            <w:webHidden/>
          </w:rPr>
        </w:r>
        <w:r w:rsidR="003647FD">
          <w:rPr>
            <w:noProof/>
            <w:webHidden/>
          </w:rPr>
          <w:fldChar w:fldCharType="separate"/>
        </w:r>
        <w:r w:rsidR="003647FD">
          <w:rPr>
            <w:noProof/>
            <w:webHidden/>
          </w:rPr>
          <w:t>3</w:t>
        </w:r>
        <w:r w:rsidR="003647FD">
          <w:rPr>
            <w:noProof/>
            <w:webHidden/>
          </w:rPr>
          <w:fldChar w:fldCharType="end"/>
        </w:r>
      </w:hyperlink>
    </w:p>
    <w:p w14:paraId="543D6473" w14:textId="77777777" w:rsidR="003647FD" w:rsidRDefault="009D2910" w:rsidP="003647FD">
      <w:pPr>
        <w:pStyle w:val="TOC1"/>
        <w:rPr>
          <w:rFonts w:asciiTheme="minorHAnsi" w:eastAsiaTheme="minorEastAsia" w:hAnsiTheme="minorHAnsi" w:cstheme="minorBidi"/>
          <w:b w:val="0"/>
          <w:bCs w:val="0"/>
          <w:caps w:val="0"/>
          <w:noProof/>
          <w:sz w:val="22"/>
          <w:szCs w:val="22"/>
          <w:lang w:eastAsia="en-AU"/>
        </w:rPr>
      </w:pPr>
      <w:hyperlink w:anchor="_Toc442946965" w:history="1">
        <w:r w:rsidR="003647FD" w:rsidRPr="00C02B83">
          <w:rPr>
            <w:rStyle w:val="Hyperlink"/>
            <w:noProof/>
            <w:lang w:eastAsia="en-AU"/>
          </w:rPr>
          <w:t>2</w:t>
        </w:r>
        <w:r w:rsidR="003647FD">
          <w:rPr>
            <w:rFonts w:asciiTheme="minorHAnsi" w:eastAsiaTheme="minorEastAsia" w:hAnsiTheme="minorHAnsi" w:cstheme="minorBidi"/>
            <w:b w:val="0"/>
            <w:bCs w:val="0"/>
            <w:caps w:val="0"/>
            <w:noProof/>
            <w:sz w:val="22"/>
            <w:szCs w:val="22"/>
            <w:lang w:eastAsia="en-AU"/>
          </w:rPr>
          <w:tab/>
        </w:r>
        <w:r w:rsidR="003647FD" w:rsidRPr="00C02B83">
          <w:rPr>
            <w:rStyle w:val="Hyperlink"/>
            <w:noProof/>
            <w:lang w:eastAsia="en-AU"/>
          </w:rPr>
          <w:t>Methodology</w:t>
        </w:r>
        <w:r w:rsidR="003647FD">
          <w:rPr>
            <w:noProof/>
            <w:webHidden/>
          </w:rPr>
          <w:tab/>
        </w:r>
        <w:r w:rsidR="003647FD">
          <w:rPr>
            <w:noProof/>
            <w:webHidden/>
          </w:rPr>
          <w:fldChar w:fldCharType="begin"/>
        </w:r>
        <w:r w:rsidR="003647FD">
          <w:rPr>
            <w:noProof/>
            <w:webHidden/>
          </w:rPr>
          <w:instrText xml:space="preserve"> PAGEREF _Toc442946965 \h </w:instrText>
        </w:r>
        <w:r w:rsidR="003647FD">
          <w:rPr>
            <w:noProof/>
            <w:webHidden/>
          </w:rPr>
        </w:r>
        <w:r w:rsidR="003647FD">
          <w:rPr>
            <w:noProof/>
            <w:webHidden/>
          </w:rPr>
          <w:fldChar w:fldCharType="separate"/>
        </w:r>
        <w:r w:rsidR="003647FD">
          <w:rPr>
            <w:noProof/>
            <w:webHidden/>
          </w:rPr>
          <w:t>3</w:t>
        </w:r>
        <w:r w:rsidR="003647FD">
          <w:rPr>
            <w:noProof/>
            <w:webHidden/>
          </w:rPr>
          <w:fldChar w:fldCharType="end"/>
        </w:r>
      </w:hyperlink>
    </w:p>
    <w:p w14:paraId="52436472" w14:textId="77777777" w:rsidR="003647FD" w:rsidRDefault="009D2910" w:rsidP="003647FD">
      <w:pPr>
        <w:pStyle w:val="TOC2"/>
        <w:tabs>
          <w:tab w:val="left" w:pos="720"/>
          <w:tab w:val="right" w:leader="dot" w:pos="9061"/>
        </w:tabs>
        <w:rPr>
          <w:rFonts w:asciiTheme="minorHAnsi" w:eastAsiaTheme="minorEastAsia" w:hAnsiTheme="minorHAnsi" w:cstheme="minorBidi"/>
          <w:b w:val="0"/>
          <w:bCs w:val="0"/>
          <w:noProof/>
          <w:sz w:val="22"/>
          <w:szCs w:val="22"/>
          <w:lang w:eastAsia="en-AU"/>
        </w:rPr>
      </w:pPr>
      <w:hyperlink w:anchor="_Toc442946966" w:history="1">
        <w:r w:rsidR="003647FD" w:rsidRPr="00C02B83">
          <w:rPr>
            <w:rStyle w:val="Hyperlink"/>
            <w:noProof/>
          </w:rPr>
          <w:t>2.1</w:t>
        </w:r>
        <w:r w:rsidR="003647FD">
          <w:rPr>
            <w:rFonts w:asciiTheme="minorHAnsi" w:eastAsiaTheme="minorEastAsia" w:hAnsiTheme="minorHAnsi" w:cstheme="minorBidi"/>
            <w:b w:val="0"/>
            <w:bCs w:val="0"/>
            <w:noProof/>
            <w:sz w:val="22"/>
            <w:szCs w:val="22"/>
            <w:lang w:eastAsia="en-AU"/>
          </w:rPr>
          <w:tab/>
        </w:r>
        <w:r w:rsidR="003647FD" w:rsidRPr="00C02B83">
          <w:rPr>
            <w:rStyle w:val="Hyperlink"/>
            <w:noProof/>
          </w:rPr>
          <w:t>Scoring Functions</w:t>
        </w:r>
        <w:r w:rsidR="003647FD">
          <w:rPr>
            <w:noProof/>
            <w:webHidden/>
          </w:rPr>
          <w:tab/>
        </w:r>
        <w:r w:rsidR="003647FD">
          <w:rPr>
            <w:noProof/>
            <w:webHidden/>
          </w:rPr>
          <w:fldChar w:fldCharType="begin"/>
        </w:r>
        <w:r w:rsidR="003647FD">
          <w:rPr>
            <w:noProof/>
            <w:webHidden/>
          </w:rPr>
          <w:instrText xml:space="preserve"> PAGEREF _Toc442946966 \h </w:instrText>
        </w:r>
        <w:r w:rsidR="003647FD">
          <w:rPr>
            <w:noProof/>
            <w:webHidden/>
          </w:rPr>
        </w:r>
        <w:r w:rsidR="003647FD">
          <w:rPr>
            <w:noProof/>
            <w:webHidden/>
          </w:rPr>
          <w:fldChar w:fldCharType="separate"/>
        </w:r>
        <w:r w:rsidR="003647FD">
          <w:rPr>
            <w:noProof/>
            <w:webHidden/>
          </w:rPr>
          <w:t>4</w:t>
        </w:r>
        <w:r w:rsidR="003647FD">
          <w:rPr>
            <w:noProof/>
            <w:webHidden/>
          </w:rPr>
          <w:fldChar w:fldCharType="end"/>
        </w:r>
      </w:hyperlink>
    </w:p>
    <w:p w14:paraId="7E714CFE" w14:textId="77777777" w:rsidR="003647FD" w:rsidRDefault="009D2910" w:rsidP="003647FD">
      <w:pPr>
        <w:pStyle w:val="TOC2"/>
        <w:tabs>
          <w:tab w:val="left" w:pos="720"/>
          <w:tab w:val="right" w:leader="dot" w:pos="9061"/>
        </w:tabs>
        <w:rPr>
          <w:rFonts w:asciiTheme="minorHAnsi" w:eastAsiaTheme="minorEastAsia" w:hAnsiTheme="minorHAnsi" w:cstheme="minorBidi"/>
          <w:b w:val="0"/>
          <w:bCs w:val="0"/>
          <w:noProof/>
          <w:sz w:val="22"/>
          <w:szCs w:val="22"/>
          <w:lang w:eastAsia="en-AU"/>
        </w:rPr>
      </w:pPr>
      <w:hyperlink w:anchor="_Toc442946967" w:history="1">
        <w:r w:rsidR="003647FD" w:rsidRPr="00C02B83">
          <w:rPr>
            <w:rStyle w:val="Hyperlink"/>
            <w:noProof/>
          </w:rPr>
          <w:t>2.2</w:t>
        </w:r>
        <w:r w:rsidR="003647FD">
          <w:rPr>
            <w:rFonts w:asciiTheme="minorHAnsi" w:eastAsiaTheme="minorEastAsia" w:hAnsiTheme="minorHAnsi" w:cstheme="minorBidi"/>
            <w:b w:val="0"/>
            <w:bCs w:val="0"/>
            <w:noProof/>
            <w:sz w:val="22"/>
            <w:szCs w:val="22"/>
            <w:lang w:eastAsia="en-AU"/>
          </w:rPr>
          <w:tab/>
        </w:r>
        <w:r w:rsidR="003647FD" w:rsidRPr="00C02B83">
          <w:rPr>
            <w:rStyle w:val="Hyperlink"/>
            <w:noProof/>
          </w:rPr>
          <w:t>Ratio Importance Weights</w:t>
        </w:r>
        <w:r w:rsidR="003647FD">
          <w:rPr>
            <w:noProof/>
            <w:webHidden/>
          </w:rPr>
          <w:tab/>
        </w:r>
        <w:r w:rsidR="003647FD">
          <w:rPr>
            <w:noProof/>
            <w:webHidden/>
          </w:rPr>
          <w:fldChar w:fldCharType="begin"/>
        </w:r>
        <w:r w:rsidR="003647FD">
          <w:rPr>
            <w:noProof/>
            <w:webHidden/>
          </w:rPr>
          <w:instrText xml:space="preserve"> PAGEREF _Toc442946967 \h </w:instrText>
        </w:r>
        <w:r w:rsidR="003647FD">
          <w:rPr>
            <w:noProof/>
            <w:webHidden/>
          </w:rPr>
        </w:r>
        <w:r w:rsidR="003647FD">
          <w:rPr>
            <w:noProof/>
            <w:webHidden/>
          </w:rPr>
          <w:fldChar w:fldCharType="separate"/>
        </w:r>
        <w:r w:rsidR="003647FD">
          <w:rPr>
            <w:noProof/>
            <w:webHidden/>
          </w:rPr>
          <w:t>5</w:t>
        </w:r>
        <w:r w:rsidR="003647FD">
          <w:rPr>
            <w:noProof/>
            <w:webHidden/>
          </w:rPr>
          <w:fldChar w:fldCharType="end"/>
        </w:r>
      </w:hyperlink>
    </w:p>
    <w:p w14:paraId="5BA39579" w14:textId="77777777" w:rsidR="003647FD" w:rsidRDefault="009D2910" w:rsidP="003647FD">
      <w:pPr>
        <w:pStyle w:val="TOC2"/>
        <w:tabs>
          <w:tab w:val="left" w:pos="720"/>
          <w:tab w:val="right" w:leader="dot" w:pos="9061"/>
        </w:tabs>
        <w:rPr>
          <w:rFonts w:asciiTheme="minorHAnsi" w:eastAsiaTheme="minorEastAsia" w:hAnsiTheme="minorHAnsi" w:cstheme="minorBidi"/>
          <w:b w:val="0"/>
          <w:bCs w:val="0"/>
          <w:noProof/>
          <w:sz w:val="22"/>
          <w:szCs w:val="22"/>
          <w:lang w:eastAsia="en-AU"/>
        </w:rPr>
      </w:pPr>
      <w:hyperlink w:anchor="_Toc442946968" w:history="1">
        <w:r w:rsidR="003647FD" w:rsidRPr="00C02B83">
          <w:rPr>
            <w:rStyle w:val="Hyperlink"/>
            <w:noProof/>
          </w:rPr>
          <w:t>2.3</w:t>
        </w:r>
        <w:r w:rsidR="003647FD">
          <w:rPr>
            <w:rFonts w:asciiTheme="minorHAnsi" w:eastAsiaTheme="minorEastAsia" w:hAnsiTheme="minorHAnsi" w:cstheme="minorBidi"/>
            <w:b w:val="0"/>
            <w:bCs w:val="0"/>
            <w:noProof/>
            <w:sz w:val="22"/>
            <w:szCs w:val="22"/>
            <w:lang w:eastAsia="en-AU"/>
          </w:rPr>
          <w:tab/>
        </w:r>
        <w:r w:rsidR="003647FD" w:rsidRPr="00C02B83">
          <w:rPr>
            <w:rStyle w:val="Hyperlink"/>
            <w:noProof/>
          </w:rPr>
          <w:t>Missing Ratios</w:t>
        </w:r>
        <w:r w:rsidR="003647FD">
          <w:rPr>
            <w:noProof/>
            <w:webHidden/>
          </w:rPr>
          <w:tab/>
        </w:r>
        <w:r w:rsidR="003647FD">
          <w:rPr>
            <w:noProof/>
            <w:webHidden/>
          </w:rPr>
          <w:fldChar w:fldCharType="begin"/>
        </w:r>
        <w:r w:rsidR="003647FD">
          <w:rPr>
            <w:noProof/>
            <w:webHidden/>
          </w:rPr>
          <w:instrText xml:space="preserve"> PAGEREF _Toc442946968 \h </w:instrText>
        </w:r>
        <w:r w:rsidR="003647FD">
          <w:rPr>
            <w:noProof/>
            <w:webHidden/>
          </w:rPr>
        </w:r>
        <w:r w:rsidR="003647FD">
          <w:rPr>
            <w:noProof/>
            <w:webHidden/>
          </w:rPr>
          <w:fldChar w:fldCharType="separate"/>
        </w:r>
        <w:r w:rsidR="003647FD">
          <w:rPr>
            <w:noProof/>
            <w:webHidden/>
          </w:rPr>
          <w:t>7</w:t>
        </w:r>
        <w:r w:rsidR="003647FD">
          <w:rPr>
            <w:noProof/>
            <w:webHidden/>
          </w:rPr>
          <w:fldChar w:fldCharType="end"/>
        </w:r>
      </w:hyperlink>
    </w:p>
    <w:p w14:paraId="2DAA1DB2" w14:textId="77777777" w:rsidR="003647FD" w:rsidRDefault="009D2910" w:rsidP="003647FD">
      <w:pPr>
        <w:pStyle w:val="TOC1"/>
        <w:rPr>
          <w:rFonts w:asciiTheme="minorHAnsi" w:eastAsiaTheme="minorEastAsia" w:hAnsiTheme="minorHAnsi" w:cstheme="minorBidi"/>
          <w:b w:val="0"/>
          <w:bCs w:val="0"/>
          <w:caps w:val="0"/>
          <w:noProof/>
          <w:sz w:val="22"/>
          <w:szCs w:val="22"/>
          <w:lang w:eastAsia="en-AU"/>
        </w:rPr>
      </w:pPr>
      <w:hyperlink w:anchor="_Toc442946969" w:history="1">
        <w:r w:rsidR="003647FD" w:rsidRPr="00C02B83">
          <w:rPr>
            <w:rStyle w:val="Hyperlink"/>
            <w:noProof/>
          </w:rPr>
          <w:t>3</w:t>
        </w:r>
        <w:r w:rsidR="003647FD">
          <w:rPr>
            <w:rFonts w:asciiTheme="minorHAnsi" w:eastAsiaTheme="minorEastAsia" w:hAnsiTheme="minorHAnsi" w:cstheme="minorBidi"/>
            <w:b w:val="0"/>
            <w:bCs w:val="0"/>
            <w:caps w:val="0"/>
            <w:noProof/>
            <w:sz w:val="22"/>
            <w:szCs w:val="22"/>
            <w:lang w:eastAsia="en-AU"/>
          </w:rPr>
          <w:tab/>
        </w:r>
        <w:r w:rsidR="003647FD" w:rsidRPr="00C02B83">
          <w:rPr>
            <w:rStyle w:val="Hyperlink"/>
            <w:noProof/>
          </w:rPr>
          <w:t>Outputs</w:t>
        </w:r>
        <w:r w:rsidR="003647FD">
          <w:rPr>
            <w:noProof/>
            <w:webHidden/>
          </w:rPr>
          <w:tab/>
        </w:r>
        <w:r w:rsidR="003647FD">
          <w:rPr>
            <w:noProof/>
            <w:webHidden/>
          </w:rPr>
          <w:fldChar w:fldCharType="begin"/>
        </w:r>
        <w:r w:rsidR="003647FD">
          <w:rPr>
            <w:noProof/>
            <w:webHidden/>
          </w:rPr>
          <w:instrText xml:space="preserve"> PAGEREF _Toc442946969 \h </w:instrText>
        </w:r>
        <w:r w:rsidR="003647FD">
          <w:rPr>
            <w:noProof/>
            <w:webHidden/>
          </w:rPr>
        </w:r>
        <w:r w:rsidR="003647FD">
          <w:rPr>
            <w:noProof/>
            <w:webHidden/>
          </w:rPr>
          <w:fldChar w:fldCharType="separate"/>
        </w:r>
        <w:r w:rsidR="003647FD">
          <w:rPr>
            <w:noProof/>
            <w:webHidden/>
          </w:rPr>
          <w:t>7</w:t>
        </w:r>
        <w:r w:rsidR="003647FD">
          <w:rPr>
            <w:noProof/>
            <w:webHidden/>
          </w:rPr>
          <w:fldChar w:fldCharType="end"/>
        </w:r>
      </w:hyperlink>
    </w:p>
    <w:p w14:paraId="72420E3A" w14:textId="77777777" w:rsidR="003647FD" w:rsidRDefault="009D2910" w:rsidP="003647FD">
      <w:pPr>
        <w:pStyle w:val="TOC2"/>
        <w:tabs>
          <w:tab w:val="left" w:pos="720"/>
          <w:tab w:val="right" w:leader="dot" w:pos="9061"/>
        </w:tabs>
        <w:rPr>
          <w:rFonts w:asciiTheme="minorHAnsi" w:eastAsiaTheme="minorEastAsia" w:hAnsiTheme="minorHAnsi" w:cstheme="minorBidi"/>
          <w:b w:val="0"/>
          <w:bCs w:val="0"/>
          <w:noProof/>
          <w:sz w:val="22"/>
          <w:szCs w:val="22"/>
          <w:lang w:eastAsia="en-AU"/>
        </w:rPr>
      </w:pPr>
      <w:hyperlink w:anchor="_Toc442946970" w:history="1">
        <w:r w:rsidR="003647FD" w:rsidRPr="00C02B83">
          <w:rPr>
            <w:rStyle w:val="Hyperlink"/>
            <w:noProof/>
          </w:rPr>
          <w:t>3.1</w:t>
        </w:r>
        <w:r w:rsidR="003647FD">
          <w:rPr>
            <w:rFonts w:asciiTheme="minorHAnsi" w:eastAsiaTheme="minorEastAsia" w:hAnsiTheme="minorHAnsi" w:cstheme="minorBidi"/>
            <w:b w:val="0"/>
            <w:bCs w:val="0"/>
            <w:noProof/>
            <w:sz w:val="22"/>
            <w:szCs w:val="22"/>
            <w:lang w:eastAsia="en-AU"/>
          </w:rPr>
          <w:tab/>
        </w:r>
        <w:r w:rsidR="003647FD" w:rsidRPr="00C02B83">
          <w:rPr>
            <w:rStyle w:val="Hyperlink"/>
            <w:noProof/>
          </w:rPr>
          <w:t>Comparison Selector</w:t>
        </w:r>
        <w:r w:rsidR="003647FD">
          <w:rPr>
            <w:noProof/>
            <w:webHidden/>
          </w:rPr>
          <w:tab/>
        </w:r>
        <w:r w:rsidR="003647FD">
          <w:rPr>
            <w:noProof/>
            <w:webHidden/>
          </w:rPr>
          <w:fldChar w:fldCharType="begin"/>
        </w:r>
        <w:r w:rsidR="003647FD">
          <w:rPr>
            <w:noProof/>
            <w:webHidden/>
          </w:rPr>
          <w:instrText xml:space="preserve"> PAGEREF _Toc442946970 \h </w:instrText>
        </w:r>
        <w:r w:rsidR="003647FD">
          <w:rPr>
            <w:noProof/>
            <w:webHidden/>
          </w:rPr>
        </w:r>
        <w:r w:rsidR="003647FD">
          <w:rPr>
            <w:noProof/>
            <w:webHidden/>
          </w:rPr>
          <w:fldChar w:fldCharType="separate"/>
        </w:r>
        <w:r w:rsidR="003647FD">
          <w:rPr>
            <w:noProof/>
            <w:webHidden/>
          </w:rPr>
          <w:t>7</w:t>
        </w:r>
        <w:r w:rsidR="003647FD">
          <w:rPr>
            <w:noProof/>
            <w:webHidden/>
          </w:rPr>
          <w:fldChar w:fldCharType="end"/>
        </w:r>
      </w:hyperlink>
    </w:p>
    <w:p w14:paraId="6B28BBBB" w14:textId="77777777" w:rsidR="003647FD" w:rsidRDefault="009D2910" w:rsidP="003647FD">
      <w:pPr>
        <w:pStyle w:val="TOC2"/>
        <w:tabs>
          <w:tab w:val="left" w:pos="720"/>
          <w:tab w:val="right" w:leader="dot" w:pos="9061"/>
        </w:tabs>
        <w:rPr>
          <w:rFonts w:asciiTheme="minorHAnsi" w:eastAsiaTheme="minorEastAsia" w:hAnsiTheme="minorHAnsi" w:cstheme="minorBidi"/>
          <w:b w:val="0"/>
          <w:bCs w:val="0"/>
          <w:noProof/>
          <w:sz w:val="22"/>
          <w:szCs w:val="22"/>
          <w:lang w:eastAsia="en-AU"/>
        </w:rPr>
      </w:pPr>
      <w:hyperlink w:anchor="_Toc442946971" w:history="1">
        <w:r w:rsidR="003647FD" w:rsidRPr="00C02B83">
          <w:rPr>
            <w:rStyle w:val="Hyperlink"/>
            <w:noProof/>
            <w:lang w:eastAsia="en-AU"/>
          </w:rPr>
          <w:t>3.2</w:t>
        </w:r>
        <w:r w:rsidR="003647FD">
          <w:rPr>
            <w:rFonts w:asciiTheme="minorHAnsi" w:eastAsiaTheme="minorEastAsia" w:hAnsiTheme="minorHAnsi" w:cstheme="minorBidi"/>
            <w:b w:val="0"/>
            <w:bCs w:val="0"/>
            <w:noProof/>
            <w:sz w:val="22"/>
            <w:szCs w:val="22"/>
            <w:lang w:eastAsia="en-AU"/>
          </w:rPr>
          <w:tab/>
        </w:r>
        <w:r w:rsidR="003647FD" w:rsidRPr="00C02B83">
          <w:rPr>
            <w:rStyle w:val="Hyperlink"/>
            <w:noProof/>
            <w:lang w:eastAsia="en-AU"/>
          </w:rPr>
          <w:t>Radar Charts</w:t>
        </w:r>
        <w:r w:rsidR="003647FD">
          <w:rPr>
            <w:noProof/>
            <w:webHidden/>
          </w:rPr>
          <w:tab/>
        </w:r>
        <w:r w:rsidR="003647FD">
          <w:rPr>
            <w:noProof/>
            <w:webHidden/>
          </w:rPr>
          <w:fldChar w:fldCharType="begin"/>
        </w:r>
        <w:r w:rsidR="003647FD">
          <w:rPr>
            <w:noProof/>
            <w:webHidden/>
          </w:rPr>
          <w:instrText xml:space="preserve"> PAGEREF _Toc442946971 \h </w:instrText>
        </w:r>
        <w:r w:rsidR="003647FD">
          <w:rPr>
            <w:noProof/>
            <w:webHidden/>
          </w:rPr>
        </w:r>
        <w:r w:rsidR="003647FD">
          <w:rPr>
            <w:noProof/>
            <w:webHidden/>
          </w:rPr>
          <w:fldChar w:fldCharType="separate"/>
        </w:r>
        <w:r w:rsidR="003647FD">
          <w:rPr>
            <w:noProof/>
            <w:webHidden/>
          </w:rPr>
          <w:t>8</w:t>
        </w:r>
        <w:r w:rsidR="003647FD">
          <w:rPr>
            <w:noProof/>
            <w:webHidden/>
          </w:rPr>
          <w:fldChar w:fldCharType="end"/>
        </w:r>
      </w:hyperlink>
    </w:p>
    <w:p w14:paraId="14B6EE18" w14:textId="77777777" w:rsidR="003647FD" w:rsidRDefault="009D2910" w:rsidP="003647FD">
      <w:pPr>
        <w:pStyle w:val="TOC2"/>
        <w:tabs>
          <w:tab w:val="left" w:pos="720"/>
          <w:tab w:val="right" w:leader="dot" w:pos="9061"/>
        </w:tabs>
        <w:rPr>
          <w:rFonts w:asciiTheme="minorHAnsi" w:eastAsiaTheme="minorEastAsia" w:hAnsiTheme="minorHAnsi" w:cstheme="minorBidi"/>
          <w:b w:val="0"/>
          <w:bCs w:val="0"/>
          <w:noProof/>
          <w:sz w:val="22"/>
          <w:szCs w:val="22"/>
          <w:lang w:eastAsia="en-AU"/>
        </w:rPr>
      </w:pPr>
      <w:hyperlink w:anchor="_Toc442946972" w:history="1">
        <w:r w:rsidR="003647FD" w:rsidRPr="00C02B83">
          <w:rPr>
            <w:rStyle w:val="Hyperlink"/>
            <w:noProof/>
            <w:lang w:eastAsia="en-AU"/>
          </w:rPr>
          <w:t>3.3</w:t>
        </w:r>
        <w:r w:rsidR="003647FD">
          <w:rPr>
            <w:rFonts w:asciiTheme="minorHAnsi" w:eastAsiaTheme="minorEastAsia" w:hAnsiTheme="minorHAnsi" w:cstheme="minorBidi"/>
            <w:b w:val="0"/>
            <w:bCs w:val="0"/>
            <w:noProof/>
            <w:sz w:val="22"/>
            <w:szCs w:val="22"/>
            <w:lang w:eastAsia="en-AU"/>
          </w:rPr>
          <w:tab/>
        </w:r>
        <w:r w:rsidR="003647FD" w:rsidRPr="00C02B83">
          <w:rPr>
            <w:rStyle w:val="Hyperlink"/>
            <w:noProof/>
            <w:lang w:eastAsia="en-AU"/>
          </w:rPr>
          <w:t>Box Plots</w:t>
        </w:r>
        <w:r w:rsidR="003647FD">
          <w:rPr>
            <w:noProof/>
            <w:webHidden/>
          </w:rPr>
          <w:tab/>
        </w:r>
        <w:r w:rsidR="003647FD">
          <w:rPr>
            <w:noProof/>
            <w:webHidden/>
          </w:rPr>
          <w:fldChar w:fldCharType="begin"/>
        </w:r>
        <w:r w:rsidR="003647FD">
          <w:rPr>
            <w:noProof/>
            <w:webHidden/>
          </w:rPr>
          <w:instrText xml:space="preserve"> PAGEREF _Toc442946972 \h </w:instrText>
        </w:r>
        <w:r w:rsidR="003647FD">
          <w:rPr>
            <w:noProof/>
            <w:webHidden/>
          </w:rPr>
        </w:r>
        <w:r w:rsidR="003647FD">
          <w:rPr>
            <w:noProof/>
            <w:webHidden/>
          </w:rPr>
          <w:fldChar w:fldCharType="separate"/>
        </w:r>
        <w:r w:rsidR="003647FD">
          <w:rPr>
            <w:noProof/>
            <w:webHidden/>
          </w:rPr>
          <w:t>8</w:t>
        </w:r>
        <w:r w:rsidR="003647FD">
          <w:rPr>
            <w:noProof/>
            <w:webHidden/>
          </w:rPr>
          <w:fldChar w:fldCharType="end"/>
        </w:r>
      </w:hyperlink>
    </w:p>
    <w:p w14:paraId="48D8DD9E" w14:textId="77777777" w:rsidR="003647FD" w:rsidRDefault="009D2910" w:rsidP="003647FD">
      <w:pPr>
        <w:pStyle w:val="TOC1"/>
        <w:rPr>
          <w:rFonts w:asciiTheme="minorHAnsi" w:eastAsiaTheme="minorEastAsia" w:hAnsiTheme="minorHAnsi" w:cstheme="minorBidi"/>
          <w:b w:val="0"/>
          <w:bCs w:val="0"/>
          <w:caps w:val="0"/>
          <w:noProof/>
          <w:sz w:val="22"/>
          <w:szCs w:val="22"/>
          <w:lang w:eastAsia="en-AU"/>
        </w:rPr>
      </w:pPr>
      <w:hyperlink w:anchor="_Toc442946973" w:history="1">
        <w:r w:rsidR="003647FD" w:rsidRPr="00C02B83">
          <w:rPr>
            <w:rStyle w:val="Hyperlink"/>
            <w:noProof/>
          </w:rPr>
          <w:t>4</w:t>
        </w:r>
        <w:r w:rsidR="003647FD">
          <w:rPr>
            <w:rFonts w:asciiTheme="minorHAnsi" w:eastAsiaTheme="minorEastAsia" w:hAnsiTheme="minorHAnsi" w:cstheme="minorBidi"/>
            <w:b w:val="0"/>
            <w:bCs w:val="0"/>
            <w:caps w:val="0"/>
            <w:noProof/>
            <w:sz w:val="22"/>
            <w:szCs w:val="22"/>
            <w:lang w:eastAsia="en-AU"/>
          </w:rPr>
          <w:tab/>
        </w:r>
        <w:r w:rsidR="003647FD" w:rsidRPr="00C02B83">
          <w:rPr>
            <w:rStyle w:val="Hyperlink"/>
            <w:noProof/>
          </w:rPr>
          <w:t>Appendix 1</w:t>
        </w:r>
        <w:r w:rsidR="003647FD">
          <w:rPr>
            <w:noProof/>
            <w:webHidden/>
          </w:rPr>
          <w:tab/>
        </w:r>
        <w:r w:rsidR="003647FD">
          <w:rPr>
            <w:noProof/>
            <w:webHidden/>
          </w:rPr>
          <w:fldChar w:fldCharType="begin"/>
        </w:r>
        <w:r w:rsidR="003647FD">
          <w:rPr>
            <w:noProof/>
            <w:webHidden/>
          </w:rPr>
          <w:instrText xml:space="preserve"> PAGEREF _Toc442946973 \h </w:instrText>
        </w:r>
        <w:r w:rsidR="003647FD">
          <w:rPr>
            <w:noProof/>
            <w:webHidden/>
          </w:rPr>
        </w:r>
        <w:r w:rsidR="003647FD">
          <w:rPr>
            <w:noProof/>
            <w:webHidden/>
          </w:rPr>
          <w:fldChar w:fldCharType="separate"/>
        </w:r>
        <w:r w:rsidR="003647FD">
          <w:rPr>
            <w:noProof/>
            <w:webHidden/>
          </w:rPr>
          <w:t>10</w:t>
        </w:r>
        <w:r w:rsidR="003647FD">
          <w:rPr>
            <w:noProof/>
            <w:webHidden/>
          </w:rPr>
          <w:fldChar w:fldCharType="end"/>
        </w:r>
      </w:hyperlink>
    </w:p>
    <w:p w14:paraId="42BADA81" w14:textId="77777777" w:rsidR="003647FD" w:rsidRDefault="003647FD" w:rsidP="003647FD">
      <w:pPr>
        <w:tabs>
          <w:tab w:val="left" w:pos="567"/>
          <w:tab w:val="right" w:leader="dot" w:pos="8640"/>
        </w:tabs>
        <w:spacing w:line="25" w:lineRule="atLeast"/>
        <w:rPr>
          <w:rFonts w:cs="Arial"/>
          <w:b/>
          <w:bCs/>
          <w:caps/>
          <w:smallCaps/>
          <w:sz w:val="24"/>
        </w:rPr>
      </w:pPr>
      <w:r w:rsidRPr="00C64216">
        <w:rPr>
          <w:rFonts w:cs="Arial"/>
          <w:b/>
          <w:bCs/>
          <w:caps/>
          <w:smallCaps/>
          <w:sz w:val="24"/>
        </w:rPr>
        <w:fldChar w:fldCharType="end"/>
      </w:r>
    </w:p>
    <w:p w14:paraId="155D541E" w14:textId="77777777" w:rsidR="003647FD" w:rsidRDefault="003647FD" w:rsidP="003647FD">
      <w:pPr>
        <w:tabs>
          <w:tab w:val="left" w:pos="567"/>
          <w:tab w:val="right" w:leader="dot" w:pos="8640"/>
        </w:tabs>
        <w:spacing w:line="25" w:lineRule="atLeast"/>
        <w:rPr>
          <w:rFonts w:cs="Arial"/>
          <w:b/>
          <w:bCs/>
          <w:caps/>
          <w:smallCaps/>
          <w:sz w:val="24"/>
        </w:rPr>
      </w:pPr>
    </w:p>
    <w:p w14:paraId="3870C0CA" w14:textId="77777777" w:rsidR="003647FD" w:rsidRDefault="003647FD" w:rsidP="003647FD">
      <w:pPr>
        <w:tabs>
          <w:tab w:val="left" w:pos="567"/>
          <w:tab w:val="right" w:leader="dot" w:pos="8640"/>
        </w:tabs>
        <w:spacing w:line="25" w:lineRule="atLeast"/>
        <w:rPr>
          <w:rFonts w:cs="Arial"/>
          <w:b/>
          <w:bCs/>
          <w:caps/>
          <w:smallCaps/>
          <w:sz w:val="24"/>
        </w:rPr>
      </w:pPr>
    </w:p>
    <w:p w14:paraId="58A0E092" w14:textId="77777777" w:rsidR="003647FD" w:rsidRDefault="003647FD" w:rsidP="003647FD">
      <w:pPr>
        <w:spacing w:after="200" w:line="276" w:lineRule="auto"/>
        <w:rPr>
          <w:b/>
          <w:smallCaps/>
          <w:color w:val="003767"/>
          <w:sz w:val="28"/>
          <w:szCs w:val="28"/>
        </w:rPr>
      </w:pPr>
      <w:r>
        <w:rPr>
          <w:b/>
          <w:smallCaps/>
          <w:color w:val="003767"/>
          <w:sz w:val="28"/>
          <w:szCs w:val="28"/>
        </w:rPr>
        <w:br w:type="page"/>
      </w:r>
    </w:p>
    <w:p w14:paraId="2ED41D0D" w14:textId="77777777" w:rsidR="003647FD" w:rsidRPr="00643434" w:rsidRDefault="003647FD" w:rsidP="003647FD">
      <w:pPr>
        <w:tabs>
          <w:tab w:val="right" w:leader="dot" w:pos="8640"/>
        </w:tabs>
        <w:spacing w:after="120" w:line="300" w:lineRule="auto"/>
        <w:rPr>
          <w:b/>
          <w:smallCaps/>
          <w:color w:val="003767"/>
          <w:sz w:val="28"/>
          <w:szCs w:val="28"/>
        </w:rPr>
      </w:pPr>
      <w:r w:rsidRPr="00643434">
        <w:rPr>
          <w:b/>
          <w:smallCaps/>
          <w:color w:val="003767"/>
          <w:sz w:val="28"/>
          <w:szCs w:val="28"/>
        </w:rPr>
        <w:t>Warning</w:t>
      </w:r>
    </w:p>
    <w:p w14:paraId="1A6B57AA" w14:textId="77777777" w:rsidR="003647FD" w:rsidRDefault="003647FD" w:rsidP="003647FD">
      <w:pPr>
        <w:tabs>
          <w:tab w:val="right" w:leader="dot" w:pos="8640"/>
        </w:tabs>
        <w:spacing w:line="300" w:lineRule="auto"/>
        <w:jc w:val="both"/>
        <w:rPr>
          <w:b/>
          <w:szCs w:val="20"/>
        </w:rPr>
      </w:pPr>
      <w:r w:rsidRPr="0067239C">
        <w:rPr>
          <w:b/>
          <w:szCs w:val="20"/>
        </w:rPr>
        <w:t xml:space="preserve">Any opinions, judgements, conclusions, forecasts, predictions or estimations contained in this advice are made in reliance on information provided to </w:t>
      </w:r>
      <w:r>
        <w:rPr>
          <w:b/>
          <w:szCs w:val="20"/>
        </w:rPr>
        <w:t xml:space="preserve">the Western Australian </w:t>
      </w:r>
      <w:r w:rsidRPr="0067239C">
        <w:rPr>
          <w:b/>
          <w:szCs w:val="20"/>
        </w:rPr>
        <w:t>Treasury Corporation which</w:t>
      </w:r>
      <w:r>
        <w:rPr>
          <w:b/>
          <w:szCs w:val="20"/>
        </w:rPr>
        <w:t xml:space="preserve"> the</w:t>
      </w:r>
      <w:r w:rsidRPr="0067239C">
        <w:rPr>
          <w:b/>
          <w:szCs w:val="20"/>
        </w:rPr>
        <w:t xml:space="preserve"> </w:t>
      </w:r>
      <w:r>
        <w:rPr>
          <w:b/>
          <w:szCs w:val="20"/>
        </w:rPr>
        <w:t xml:space="preserve">Western Australian </w:t>
      </w:r>
      <w:r w:rsidRPr="0067239C">
        <w:rPr>
          <w:b/>
          <w:szCs w:val="20"/>
        </w:rPr>
        <w:t xml:space="preserve">Treasury Corporation believes to be reliable. </w:t>
      </w:r>
      <w:r>
        <w:rPr>
          <w:b/>
          <w:szCs w:val="20"/>
        </w:rPr>
        <w:t xml:space="preserve"> The Western Australian </w:t>
      </w:r>
      <w:r w:rsidRPr="0067239C">
        <w:rPr>
          <w:b/>
          <w:szCs w:val="20"/>
        </w:rPr>
        <w:t>Treasury Corporation, however, cannot guarantee the</w:t>
      </w:r>
      <w:r>
        <w:rPr>
          <w:b/>
          <w:szCs w:val="20"/>
        </w:rPr>
        <w:t xml:space="preserve"> accuracy of that information.  </w:t>
      </w:r>
      <w:r w:rsidRPr="0067239C">
        <w:rPr>
          <w:b/>
          <w:szCs w:val="20"/>
        </w:rPr>
        <w:t>Thus, any recommendations are made in good faith but they must be carefully considered because they are provided only to assist you with any decisions which you make.</w:t>
      </w:r>
    </w:p>
    <w:p w14:paraId="230EC35E" w14:textId="77777777" w:rsidR="003647FD" w:rsidRDefault="003647FD" w:rsidP="003647FD">
      <w:pPr>
        <w:tabs>
          <w:tab w:val="right" w:leader="dot" w:pos="8640"/>
        </w:tabs>
        <w:spacing w:line="300" w:lineRule="auto"/>
        <w:jc w:val="both"/>
        <w:rPr>
          <w:b/>
          <w:szCs w:val="20"/>
        </w:rPr>
      </w:pPr>
    </w:p>
    <w:p w14:paraId="08699FE1" w14:textId="77777777" w:rsidR="003647FD" w:rsidRDefault="003647FD" w:rsidP="003647FD">
      <w:pPr>
        <w:tabs>
          <w:tab w:val="right" w:leader="dot" w:pos="8640"/>
        </w:tabs>
        <w:spacing w:line="300" w:lineRule="auto"/>
        <w:jc w:val="both"/>
        <w:rPr>
          <w:b/>
          <w:szCs w:val="20"/>
        </w:rPr>
      </w:pPr>
      <w:r w:rsidRPr="00CA7143">
        <w:rPr>
          <w:b/>
          <w:szCs w:val="20"/>
        </w:rPr>
        <w:t xml:space="preserve">The financial model and the information contained within this document </w:t>
      </w:r>
      <w:r>
        <w:rPr>
          <w:b/>
          <w:szCs w:val="20"/>
        </w:rPr>
        <w:t>are</w:t>
      </w:r>
      <w:r w:rsidRPr="00CA7143">
        <w:rPr>
          <w:b/>
          <w:szCs w:val="20"/>
        </w:rPr>
        <w:t xml:space="preserve"> intended for the exclusive use of </w:t>
      </w:r>
      <w:r w:rsidRPr="00623254">
        <w:rPr>
          <w:b/>
          <w:szCs w:val="20"/>
        </w:rPr>
        <w:t>Department of Local Government and Communities and</w:t>
      </w:r>
      <w:r w:rsidRPr="00CA7143">
        <w:rPr>
          <w:b/>
          <w:szCs w:val="20"/>
        </w:rPr>
        <w:t xml:space="preserve"> shall remain the property of the Western Australian Treasury Corporation.  No part of the contents of this document may be shared with a third party, disclosed to, made available, reproduced, modified, published, reused or distributed without the prior written permission from the Western Australian Treasury Corporation. The financial model and the information contained within this document shall be used only in accordance with the terms of engagement for the commission and for that purpose only.</w:t>
      </w:r>
    </w:p>
    <w:p w14:paraId="57272D17" w14:textId="77777777" w:rsidR="003647FD" w:rsidRDefault="003647FD" w:rsidP="003647FD">
      <w:pPr>
        <w:tabs>
          <w:tab w:val="right" w:leader="dot" w:pos="8640"/>
        </w:tabs>
        <w:spacing w:line="300" w:lineRule="auto"/>
        <w:jc w:val="both"/>
        <w:rPr>
          <w:b/>
          <w:szCs w:val="20"/>
        </w:rPr>
      </w:pPr>
    </w:p>
    <w:p w14:paraId="14F9A798" w14:textId="77777777" w:rsidR="003647FD" w:rsidRPr="00BC2C4C" w:rsidRDefault="003647FD" w:rsidP="003647FD">
      <w:pPr>
        <w:tabs>
          <w:tab w:val="right" w:leader="dot" w:pos="8640"/>
        </w:tabs>
        <w:spacing w:after="120" w:line="300" w:lineRule="auto"/>
        <w:rPr>
          <w:b/>
          <w:smallCaps/>
          <w:color w:val="003767"/>
          <w:sz w:val="24"/>
        </w:rPr>
      </w:pPr>
      <w:r w:rsidRPr="00BC2C4C">
        <w:rPr>
          <w:b/>
          <w:smallCaps/>
          <w:color w:val="003767"/>
          <w:sz w:val="24"/>
        </w:rPr>
        <w:t>Historical Data</w:t>
      </w:r>
    </w:p>
    <w:p w14:paraId="489F3CB3" w14:textId="77777777" w:rsidR="003647FD" w:rsidRDefault="003647FD" w:rsidP="003647FD">
      <w:pPr>
        <w:spacing w:line="300" w:lineRule="auto"/>
        <w:jc w:val="both"/>
        <w:rPr>
          <w:b/>
          <w:lang w:eastAsia="en-AU"/>
        </w:rPr>
      </w:pPr>
      <w:r w:rsidRPr="00BC2C4C">
        <w:rPr>
          <w:b/>
          <w:lang w:eastAsia="en-AU"/>
        </w:rPr>
        <w:lastRenderedPageBreak/>
        <w:t xml:space="preserve">Data have been gathered from direct sources where ever possible; where this is not the case, data have been used from third parties in good faith. </w:t>
      </w:r>
      <w:r>
        <w:rPr>
          <w:b/>
          <w:lang w:eastAsia="en-AU"/>
        </w:rPr>
        <w:t xml:space="preserve"> The </w:t>
      </w:r>
      <w:r w:rsidRPr="00BC2C4C">
        <w:rPr>
          <w:b/>
          <w:lang w:eastAsia="en-AU"/>
        </w:rPr>
        <w:t xml:space="preserve">Western Australian Treasury Corporation believes, on reasonable grounds, that the data provided to it, be reliable, complete and not misleading. </w:t>
      </w:r>
      <w:r>
        <w:rPr>
          <w:b/>
          <w:lang w:eastAsia="en-AU"/>
        </w:rPr>
        <w:t xml:space="preserve"> The </w:t>
      </w:r>
      <w:r w:rsidRPr="00BC2C4C">
        <w:rPr>
          <w:b/>
          <w:lang w:eastAsia="en-AU"/>
        </w:rPr>
        <w:t>Western Australian Treasury Corporation does not imply, nor should it be construed, that it has carried out any form of audit or verification on the information and records supplied to us.</w:t>
      </w:r>
    </w:p>
    <w:p w14:paraId="1FE867A3" w14:textId="77777777" w:rsidR="003647FD" w:rsidRPr="00BC2C4C" w:rsidRDefault="003647FD" w:rsidP="003647FD">
      <w:pPr>
        <w:spacing w:after="200" w:line="276" w:lineRule="auto"/>
        <w:rPr>
          <w:b/>
          <w:lang w:eastAsia="en-AU"/>
        </w:rPr>
      </w:pPr>
      <w:r>
        <w:rPr>
          <w:b/>
          <w:lang w:eastAsia="en-AU"/>
        </w:rPr>
        <w:br w:type="page"/>
      </w:r>
    </w:p>
    <w:p w14:paraId="31DC8C11" w14:textId="77777777" w:rsidR="003647FD" w:rsidRPr="000007EA" w:rsidRDefault="003647FD" w:rsidP="003647FD">
      <w:pPr>
        <w:pStyle w:val="Heading1"/>
        <w:numPr>
          <w:ilvl w:val="0"/>
          <w:numId w:val="0"/>
        </w:numPr>
        <w:spacing w:before="0" w:after="240" w:line="25" w:lineRule="atLeast"/>
        <w:ind w:left="432" w:hanging="432"/>
        <w:rPr>
          <w:lang w:eastAsia="en-AU"/>
        </w:rPr>
      </w:pPr>
      <w:bookmarkStart w:id="1" w:name="_Toc442946963"/>
      <w:r w:rsidRPr="00291064">
        <w:rPr>
          <w:lang w:eastAsia="en-AU"/>
        </w:rPr>
        <w:lastRenderedPageBreak/>
        <w:t>Introduction</w:t>
      </w:r>
      <w:bookmarkEnd w:id="1"/>
    </w:p>
    <w:p w14:paraId="74F63653" w14:textId="77777777" w:rsidR="003647FD" w:rsidRDefault="003647FD" w:rsidP="003647FD">
      <w:pPr>
        <w:spacing w:after="240" w:line="300" w:lineRule="auto"/>
        <w:jc w:val="both"/>
        <w:rPr>
          <w:rFonts w:cs="Arial"/>
        </w:rPr>
      </w:pPr>
      <w:r>
        <w:rPr>
          <w:rFonts w:cs="Arial"/>
        </w:rPr>
        <w:t xml:space="preserve">This document outlines the process to assess the financial health of Local Governments (“LGs”) and serves as </w:t>
      </w:r>
      <w:r w:rsidRPr="005D5E36">
        <w:rPr>
          <w:rFonts w:cs="Arial"/>
          <w:color w:val="000000"/>
          <w:szCs w:val="20"/>
        </w:rPr>
        <w:t xml:space="preserve">a </w:t>
      </w:r>
      <w:r>
        <w:rPr>
          <w:rFonts w:cs="Arial"/>
          <w:color w:val="000000"/>
          <w:szCs w:val="20"/>
        </w:rPr>
        <w:t xml:space="preserve">methodological </w:t>
      </w:r>
      <w:r w:rsidRPr="005D5E36">
        <w:rPr>
          <w:rFonts w:cs="Arial"/>
          <w:color w:val="000000"/>
          <w:szCs w:val="20"/>
        </w:rPr>
        <w:t xml:space="preserve">guideline for web developers writing the required programming code </w:t>
      </w:r>
      <w:r>
        <w:rPr>
          <w:rFonts w:cs="Arial"/>
          <w:color w:val="000000"/>
          <w:szCs w:val="20"/>
        </w:rPr>
        <w:t>to calculate and display Financial Health Indicator results (“FHI”) on</w:t>
      </w:r>
      <w:r w:rsidRPr="005D5E36">
        <w:rPr>
          <w:rFonts w:cs="Arial"/>
          <w:color w:val="000000"/>
          <w:szCs w:val="20"/>
        </w:rPr>
        <w:t xml:space="preserve"> the web based platform. </w:t>
      </w:r>
      <w:r>
        <w:rPr>
          <w:rFonts w:cs="Arial"/>
        </w:rPr>
        <w:t xml:space="preserve"> It is to be used in conjunction with the accompanying Web Based FHI Model (“the Model”) provided to the Department of Local Government and Communities (“DLGC”).</w:t>
      </w:r>
    </w:p>
    <w:p w14:paraId="248EF94D" w14:textId="77777777" w:rsidR="003647FD" w:rsidRDefault="003647FD" w:rsidP="003647FD">
      <w:pPr>
        <w:pStyle w:val="Heading1"/>
        <w:spacing w:before="0" w:after="240" w:line="25" w:lineRule="atLeast"/>
        <w:rPr>
          <w:lang w:eastAsia="en-AU"/>
        </w:rPr>
      </w:pPr>
      <w:bookmarkStart w:id="2" w:name="_Toc442946964"/>
      <w:r>
        <w:rPr>
          <w:lang w:eastAsia="en-AU"/>
        </w:rPr>
        <w:t>Data</w:t>
      </w:r>
      <w:bookmarkEnd w:id="2"/>
    </w:p>
    <w:p w14:paraId="1BFECF39" w14:textId="77777777" w:rsidR="003647FD" w:rsidRDefault="003647FD" w:rsidP="003647FD">
      <w:pPr>
        <w:spacing w:after="240" w:line="300" w:lineRule="auto"/>
        <w:jc w:val="both"/>
        <w:rPr>
          <w:lang w:eastAsia="en-AU"/>
        </w:rPr>
      </w:pPr>
      <w:r>
        <w:rPr>
          <w:lang w:eastAsia="en-AU"/>
        </w:rPr>
        <w:t>The seven financial ratios as required by W.A. Local Government regulation are used to analyse and rank the financial health of LG’s.</w:t>
      </w:r>
    </w:p>
    <w:p w14:paraId="196085CA" w14:textId="77777777" w:rsidR="003647FD" w:rsidRPr="00F01FE7" w:rsidRDefault="003647FD" w:rsidP="003647FD">
      <w:pPr>
        <w:spacing w:before="240" w:after="240" w:line="300" w:lineRule="auto"/>
        <w:jc w:val="both"/>
        <w:rPr>
          <w:rFonts w:cs="Arial"/>
          <w:szCs w:val="20"/>
        </w:rPr>
      </w:pPr>
      <w:r w:rsidRPr="00F01FE7">
        <w:rPr>
          <w:rFonts w:cs="Arial"/>
          <w:szCs w:val="20"/>
        </w:rPr>
        <w:t>The seven financial ratios are:</w:t>
      </w:r>
    </w:p>
    <w:p w14:paraId="26F9662F" w14:textId="77777777" w:rsidR="003647FD" w:rsidRPr="00F01FE7" w:rsidRDefault="003647FD" w:rsidP="003647FD">
      <w:pPr>
        <w:pStyle w:val="ListParagraph"/>
        <w:numPr>
          <w:ilvl w:val="0"/>
          <w:numId w:val="26"/>
        </w:numPr>
        <w:spacing w:after="240" w:line="300" w:lineRule="auto"/>
        <w:jc w:val="both"/>
        <w:rPr>
          <w:rFonts w:ascii="Arial" w:hAnsi="Arial" w:cs="Arial"/>
          <w:sz w:val="20"/>
          <w:szCs w:val="20"/>
        </w:rPr>
      </w:pPr>
      <w:r>
        <w:rPr>
          <w:rFonts w:ascii="Arial" w:hAnsi="Arial" w:cs="Arial"/>
          <w:sz w:val="20"/>
          <w:szCs w:val="20"/>
        </w:rPr>
        <w:t>The current ratio,</w:t>
      </w:r>
    </w:p>
    <w:p w14:paraId="48D1DDB5" w14:textId="77777777" w:rsidR="003647FD" w:rsidRPr="00F01FE7" w:rsidRDefault="003647FD" w:rsidP="003647FD">
      <w:pPr>
        <w:pStyle w:val="ListParagraph"/>
        <w:numPr>
          <w:ilvl w:val="0"/>
          <w:numId w:val="26"/>
        </w:numPr>
        <w:spacing w:after="240" w:line="300" w:lineRule="auto"/>
        <w:jc w:val="both"/>
        <w:rPr>
          <w:rFonts w:ascii="Arial" w:hAnsi="Arial" w:cs="Arial"/>
          <w:sz w:val="20"/>
          <w:szCs w:val="20"/>
        </w:rPr>
      </w:pPr>
      <w:r>
        <w:rPr>
          <w:rFonts w:ascii="Arial" w:hAnsi="Arial" w:cs="Arial"/>
          <w:sz w:val="20"/>
          <w:szCs w:val="20"/>
        </w:rPr>
        <w:t>The asset consumption ratio,</w:t>
      </w:r>
    </w:p>
    <w:p w14:paraId="36335148" w14:textId="77777777" w:rsidR="003647FD" w:rsidRPr="00F01FE7" w:rsidRDefault="003647FD" w:rsidP="003647FD">
      <w:pPr>
        <w:pStyle w:val="ListParagraph"/>
        <w:numPr>
          <w:ilvl w:val="0"/>
          <w:numId w:val="26"/>
        </w:numPr>
        <w:spacing w:after="240" w:line="300" w:lineRule="auto"/>
        <w:jc w:val="both"/>
        <w:rPr>
          <w:rFonts w:ascii="Arial" w:hAnsi="Arial" w:cs="Arial"/>
          <w:sz w:val="20"/>
          <w:szCs w:val="20"/>
        </w:rPr>
      </w:pPr>
      <w:r>
        <w:rPr>
          <w:rFonts w:ascii="Arial" w:hAnsi="Arial" w:cs="Arial"/>
          <w:sz w:val="20"/>
          <w:szCs w:val="20"/>
        </w:rPr>
        <w:t>The asset renewal funding ratio,</w:t>
      </w:r>
    </w:p>
    <w:p w14:paraId="69C1F98A" w14:textId="77777777" w:rsidR="003647FD" w:rsidRPr="00F01FE7" w:rsidRDefault="003647FD" w:rsidP="003647FD">
      <w:pPr>
        <w:pStyle w:val="ListParagraph"/>
        <w:numPr>
          <w:ilvl w:val="0"/>
          <w:numId w:val="26"/>
        </w:numPr>
        <w:spacing w:after="240" w:line="300" w:lineRule="auto"/>
        <w:jc w:val="both"/>
        <w:rPr>
          <w:rFonts w:ascii="Arial" w:hAnsi="Arial" w:cs="Arial"/>
          <w:sz w:val="20"/>
          <w:szCs w:val="20"/>
        </w:rPr>
      </w:pPr>
      <w:r>
        <w:rPr>
          <w:rFonts w:ascii="Arial" w:hAnsi="Arial" w:cs="Arial"/>
          <w:sz w:val="20"/>
          <w:szCs w:val="20"/>
        </w:rPr>
        <w:t>The asset sustainability ratio,</w:t>
      </w:r>
    </w:p>
    <w:p w14:paraId="518F20C9" w14:textId="77777777" w:rsidR="003647FD" w:rsidRPr="00F01FE7" w:rsidRDefault="003647FD" w:rsidP="003647FD">
      <w:pPr>
        <w:pStyle w:val="ListParagraph"/>
        <w:numPr>
          <w:ilvl w:val="0"/>
          <w:numId w:val="26"/>
        </w:numPr>
        <w:spacing w:after="240" w:line="300" w:lineRule="auto"/>
        <w:jc w:val="both"/>
        <w:rPr>
          <w:rFonts w:ascii="Arial" w:hAnsi="Arial" w:cs="Arial"/>
          <w:sz w:val="20"/>
          <w:szCs w:val="20"/>
        </w:rPr>
      </w:pPr>
      <w:r w:rsidRPr="00F01FE7">
        <w:rPr>
          <w:rFonts w:ascii="Arial" w:hAnsi="Arial" w:cs="Arial"/>
          <w:sz w:val="20"/>
          <w:szCs w:val="20"/>
        </w:rPr>
        <w:t>The debt service cover ratio</w:t>
      </w:r>
      <w:r>
        <w:rPr>
          <w:rFonts w:ascii="Arial" w:hAnsi="Arial" w:cs="Arial"/>
          <w:sz w:val="20"/>
          <w:szCs w:val="20"/>
        </w:rPr>
        <w:t xml:space="preserve"> (DSCR),</w:t>
      </w:r>
    </w:p>
    <w:p w14:paraId="7AE9B04F" w14:textId="77777777" w:rsidR="003647FD" w:rsidRPr="00F01FE7" w:rsidRDefault="003647FD" w:rsidP="003647FD">
      <w:pPr>
        <w:pStyle w:val="ListParagraph"/>
        <w:numPr>
          <w:ilvl w:val="0"/>
          <w:numId w:val="26"/>
        </w:numPr>
        <w:spacing w:after="240" w:line="300" w:lineRule="auto"/>
        <w:jc w:val="both"/>
        <w:rPr>
          <w:rFonts w:ascii="Arial" w:hAnsi="Arial" w:cs="Arial"/>
          <w:sz w:val="20"/>
          <w:szCs w:val="20"/>
        </w:rPr>
      </w:pPr>
      <w:r w:rsidRPr="00F01FE7">
        <w:rPr>
          <w:rFonts w:ascii="Arial" w:hAnsi="Arial" w:cs="Arial"/>
          <w:sz w:val="20"/>
          <w:szCs w:val="20"/>
        </w:rPr>
        <w:t>The operating surplus ratio</w:t>
      </w:r>
      <w:r>
        <w:rPr>
          <w:rFonts w:ascii="Arial" w:hAnsi="Arial" w:cs="Arial"/>
          <w:sz w:val="20"/>
          <w:szCs w:val="20"/>
        </w:rPr>
        <w:t>,</w:t>
      </w:r>
      <w:r w:rsidRPr="00F01FE7">
        <w:rPr>
          <w:rFonts w:ascii="Arial" w:hAnsi="Arial" w:cs="Arial"/>
          <w:sz w:val="20"/>
          <w:szCs w:val="20"/>
        </w:rPr>
        <w:t xml:space="preserve"> and</w:t>
      </w:r>
    </w:p>
    <w:p w14:paraId="721DB91D" w14:textId="77777777" w:rsidR="003647FD" w:rsidRDefault="003647FD" w:rsidP="003647FD">
      <w:pPr>
        <w:pStyle w:val="ListParagraph"/>
        <w:numPr>
          <w:ilvl w:val="0"/>
          <w:numId w:val="26"/>
        </w:numPr>
        <w:spacing w:after="240" w:line="300" w:lineRule="auto"/>
        <w:jc w:val="both"/>
        <w:rPr>
          <w:rFonts w:ascii="Arial" w:hAnsi="Arial" w:cs="Arial"/>
          <w:sz w:val="20"/>
          <w:szCs w:val="20"/>
        </w:rPr>
      </w:pPr>
      <w:r w:rsidRPr="00F01FE7">
        <w:rPr>
          <w:rFonts w:ascii="Arial" w:hAnsi="Arial" w:cs="Arial"/>
          <w:sz w:val="20"/>
          <w:szCs w:val="20"/>
        </w:rPr>
        <w:t>The own source revenue coverage ratio.</w:t>
      </w:r>
    </w:p>
    <w:p w14:paraId="79537575" w14:textId="77777777" w:rsidR="003647FD" w:rsidRPr="00810BF7" w:rsidRDefault="003647FD" w:rsidP="003647FD">
      <w:pPr>
        <w:spacing w:after="240" w:line="300" w:lineRule="auto"/>
        <w:jc w:val="both"/>
        <w:rPr>
          <w:rFonts w:cs="Arial"/>
          <w:szCs w:val="20"/>
        </w:rPr>
      </w:pPr>
      <w:r>
        <w:rPr>
          <w:rFonts w:cs="Arial"/>
          <w:szCs w:val="20"/>
        </w:rPr>
        <w:t xml:space="preserve">The ratios are recorded for each LG on a financial year basis and are used in the calculation of a corresponding annual FHI </w:t>
      </w:r>
      <w:r w:rsidR="00C25858">
        <w:rPr>
          <w:rFonts w:cs="Arial"/>
          <w:szCs w:val="20"/>
        </w:rPr>
        <w:t>result</w:t>
      </w:r>
      <w:r>
        <w:rPr>
          <w:rFonts w:cs="Arial"/>
          <w:szCs w:val="20"/>
        </w:rPr>
        <w:t xml:space="preserve">. </w:t>
      </w:r>
    </w:p>
    <w:p w14:paraId="11CE0750" w14:textId="77777777" w:rsidR="003647FD" w:rsidRDefault="003647FD" w:rsidP="003647FD">
      <w:pPr>
        <w:pStyle w:val="Heading1"/>
        <w:spacing w:before="0" w:after="240" w:line="25" w:lineRule="atLeast"/>
        <w:rPr>
          <w:lang w:eastAsia="en-AU"/>
        </w:rPr>
      </w:pPr>
      <w:bookmarkStart w:id="3" w:name="_Toc442946965"/>
      <w:r>
        <w:rPr>
          <w:lang w:eastAsia="en-AU"/>
        </w:rPr>
        <w:lastRenderedPageBreak/>
        <w:t>Methodology</w:t>
      </w:r>
      <w:bookmarkEnd w:id="3"/>
    </w:p>
    <w:p w14:paraId="27FB3AA4" w14:textId="77777777" w:rsidR="003647FD" w:rsidRPr="008A5330" w:rsidRDefault="003647FD" w:rsidP="003647FD">
      <w:pPr>
        <w:spacing w:after="240" w:line="300" w:lineRule="auto"/>
        <w:jc w:val="both"/>
        <w:rPr>
          <w:rFonts w:cs="Arial"/>
          <w:szCs w:val="20"/>
        </w:rPr>
      </w:pPr>
      <w:r>
        <w:rPr>
          <w:rFonts w:cs="Arial"/>
        </w:rPr>
        <w:t>The methodology devised for assessing the financial health of LGs</w:t>
      </w:r>
      <w:r>
        <w:rPr>
          <w:lang w:eastAsia="en-AU"/>
        </w:rPr>
        <w:t xml:space="preserve"> consists of two main </w:t>
      </w:r>
      <w:r>
        <w:rPr>
          <w:rFonts w:cs="Arial"/>
        </w:rPr>
        <w:t>components:</w:t>
      </w:r>
    </w:p>
    <w:p w14:paraId="6C05705B" w14:textId="77777777" w:rsidR="003647FD" w:rsidRPr="006672DD" w:rsidRDefault="003647FD" w:rsidP="003647FD">
      <w:pPr>
        <w:pStyle w:val="ListParagraph"/>
        <w:numPr>
          <w:ilvl w:val="0"/>
          <w:numId w:val="25"/>
        </w:numPr>
        <w:spacing w:after="240" w:line="300" w:lineRule="auto"/>
        <w:jc w:val="both"/>
        <w:rPr>
          <w:rFonts w:cs="Arial"/>
          <w:szCs w:val="20"/>
        </w:rPr>
      </w:pPr>
      <w:r w:rsidRPr="00DA035A">
        <w:rPr>
          <w:rFonts w:ascii="Arial" w:hAnsi="Arial" w:cs="Arial"/>
          <w:sz w:val="20"/>
          <w:szCs w:val="20"/>
        </w:rPr>
        <w:t>Seven scoring functions that take the given financial ratios in a financial year and convert each one into a numerical score between 0 and 10.</w:t>
      </w:r>
    </w:p>
    <w:p w14:paraId="27B4378A" w14:textId="77777777" w:rsidR="003647FD" w:rsidRPr="00DA035A" w:rsidRDefault="003647FD" w:rsidP="003647FD">
      <w:pPr>
        <w:pStyle w:val="ListParagraph"/>
        <w:spacing w:after="240" w:line="300" w:lineRule="auto"/>
        <w:jc w:val="both"/>
        <w:rPr>
          <w:rFonts w:cs="Arial"/>
          <w:szCs w:val="20"/>
        </w:rPr>
      </w:pPr>
    </w:p>
    <w:p w14:paraId="47C372F0" w14:textId="77777777" w:rsidR="003647FD" w:rsidRPr="009623E2" w:rsidRDefault="003647FD" w:rsidP="003647FD">
      <w:pPr>
        <w:pStyle w:val="ListParagraph"/>
        <w:numPr>
          <w:ilvl w:val="0"/>
          <w:numId w:val="25"/>
        </w:numPr>
        <w:spacing w:after="240" w:line="300" w:lineRule="auto"/>
        <w:jc w:val="both"/>
        <w:rPr>
          <w:rFonts w:ascii="Arial" w:hAnsi="Arial" w:cs="Arial"/>
          <w:sz w:val="20"/>
          <w:szCs w:val="20"/>
        </w:rPr>
      </w:pPr>
      <w:r w:rsidRPr="004528B0">
        <w:rPr>
          <w:rFonts w:ascii="Arial" w:hAnsi="Arial" w:cs="Arial"/>
          <w:sz w:val="20"/>
          <w:szCs w:val="20"/>
        </w:rPr>
        <w:t xml:space="preserve">Seven ratio importance weights </w:t>
      </w:r>
      <m:oMath>
        <m:sSub>
          <m:sSubPr>
            <m:ctrlPr>
              <w:rPr>
                <w:rFonts w:ascii="Cambria Math" w:eastAsia="Times New Roman" w:hAnsi="Cambria Math" w:cs="Arial"/>
                <w:i/>
                <w:sz w:val="20"/>
                <w:szCs w:val="24"/>
                <w:lang w:eastAsia="en-US"/>
              </w:rPr>
            </m:ctrlPr>
          </m:sSubPr>
          <m:e>
            <m:r>
              <w:rPr>
                <w:rFonts w:ascii="Cambria Math" w:hAnsi="Cambria Math" w:cs="Arial"/>
              </w:rPr>
              <m:t>w</m:t>
            </m:r>
          </m:e>
          <m:sub>
            <m:r>
              <w:rPr>
                <w:rFonts w:ascii="Cambria Math" w:hAnsi="Cambria Math" w:cs="Arial"/>
              </w:rPr>
              <m:t>i</m:t>
            </m:r>
          </m:sub>
        </m:sSub>
      </m:oMath>
      <w:r w:rsidRPr="004528B0">
        <w:rPr>
          <w:rFonts w:ascii="Arial" w:hAnsi="Arial" w:cs="Arial"/>
          <w:sz w:val="20"/>
          <w:szCs w:val="20"/>
        </w:rPr>
        <w:t xml:space="preserve"> (that sum to one) that are applied to each of the numerical scores so that when the weighted scores are summed, </w:t>
      </w:r>
      <w:r>
        <w:rPr>
          <w:rFonts w:ascii="Arial" w:hAnsi="Arial" w:cs="Arial"/>
          <w:sz w:val="20"/>
          <w:szCs w:val="20"/>
        </w:rPr>
        <w:t>the Financial Health Indicator</w:t>
      </w:r>
      <w:r w:rsidRPr="004528B0">
        <w:rPr>
          <w:rFonts w:ascii="Arial" w:hAnsi="Arial" w:cs="Arial"/>
          <w:sz w:val="20"/>
          <w:szCs w:val="20"/>
        </w:rPr>
        <w:t xml:space="preserve"> is produced for that financial year with a value between 0 and 10. A scale factor of 10 is used to provide a final score between 0 and 100.</w:t>
      </w:r>
      <w:r w:rsidRPr="004528B0">
        <w:rPr>
          <w:rFonts w:cs="Arial"/>
        </w:rPr>
        <w:t xml:space="preserve"> </w:t>
      </w:r>
    </w:p>
    <w:p w14:paraId="301D37CE" w14:textId="77777777" w:rsidR="003647FD" w:rsidRDefault="003647FD" w:rsidP="003647FD">
      <w:pPr>
        <w:spacing w:before="240" w:after="240" w:line="300" w:lineRule="auto"/>
        <w:jc w:val="both"/>
        <w:rPr>
          <w:rFonts w:cs="Arial"/>
        </w:rPr>
      </w:pPr>
      <w:r w:rsidRPr="00FA27E1">
        <w:rPr>
          <w:rFonts w:cs="Arial"/>
        </w:rPr>
        <w:t xml:space="preserve">The data analysis process </w:t>
      </w:r>
      <w:r>
        <w:rPr>
          <w:rFonts w:cs="Arial"/>
        </w:rPr>
        <w:t>is</w:t>
      </w:r>
      <w:r w:rsidRPr="00FA27E1">
        <w:rPr>
          <w:rFonts w:cs="Arial"/>
        </w:rPr>
        <w:t xml:space="preserve"> summarised at a high level </w:t>
      </w:r>
      <w:r>
        <w:rPr>
          <w:rFonts w:cs="Arial"/>
        </w:rPr>
        <w:t xml:space="preserve">in Figure 1: </w:t>
      </w:r>
    </w:p>
    <w:p w14:paraId="6BF2B2C6" w14:textId="77777777" w:rsidR="003647FD" w:rsidRDefault="003647FD" w:rsidP="003647FD">
      <w:pPr>
        <w:spacing w:before="240" w:after="240" w:line="300" w:lineRule="auto"/>
        <w:jc w:val="both"/>
        <w:rPr>
          <w:rFonts w:cs="Arial"/>
        </w:rPr>
      </w:pPr>
    </w:p>
    <w:p w14:paraId="58C14712" w14:textId="77777777" w:rsidR="003647FD" w:rsidRDefault="003647FD" w:rsidP="003647FD">
      <w:pPr>
        <w:spacing w:before="240" w:after="240" w:line="300" w:lineRule="auto"/>
        <w:jc w:val="both"/>
        <w:rPr>
          <w:rFonts w:cs="Arial"/>
        </w:rPr>
      </w:pPr>
    </w:p>
    <w:p w14:paraId="09D0622C" w14:textId="77777777" w:rsidR="003647FD" w:rsidRDefault="003647FD" w:rsidP="003647FD">
      <w:pPr>
        <w:spacing w:before="240" w:after="240" w:line="300" w:lineRule="auto"/>
        <w:jc w:val="both"/>
        <w:rPr>
          <w:rFonts w:cs="Arial"/>
        </w:rPr>
      </w:pPr>
    </w:p>
    <w:p w14:paraId="1A52E34A" w14:textId="77777777" w:rsidR="003647FD" w:rsidRDefault="003647FD" w:rsidP="003647FD">
      <w:pPr>
        <w:spacing w:before="240" w:after="240" w:line="300" w:lineRule="auto"/>
        <w:jc w:val="both"/>
        <w:rPr>
          <w:rFonts w:cs="Arial"/>
        </w:rPr>
      </w:pPr>
    </w:p>
    <w:p w14:paraId="78E65549" w14:textId="77777777" w:rsidR="003647FD" w:rsidRDefault="003647FD" w:rsidP="003647FD">
      <w:pPr>
        <w:spacing w:before="240" w:after="240" w:line="300" w:lineRule="auto"/>
        <w:jc w:val="both"/>
        <w:rPr>
          <w:rFonts w:cs="Arial"/>
        </w:rPr>
      </w:pPr>
    </w:p>
    <w:p w14:paraId="3762D5B2" w14:textId="77777777" w:rsidR="003647FD" w:rsidRPr="00FE1F23" w:rsidRDefault="003647FD" w:rsidP="003647FD">
      <w:pPr>
        <w:spacing w:before="240" w:after="240" w:line="300" w:lineRule="auto"/>
        <w:jc w:val="both"/>
        <w:rPr>
          <w:rFonts w:cs="Arial"/>
        </w:rPr>
      </w:pPr>
      <w:r>
        <w:rPr>
          <w:rFonts w:cs="Arial"/>
          <w:b/>
          <w:sz w:val="16"/>
          <w:szCs w:val="16"/>
        </w:rPr>
        <w:t>Figure</w:t>
      </w:r>
      <w:r w:rsidRPr="005179B2">
        <w:rPr>
          <w:rFonts w:cs="Arial"/>
          <w:b/>
          <w:sz w:val="16"/>
          <w:szCs w:val="16"/>
        </w:rPr>
        <w:t xml:space="preserve"> </w:t>
      </w:r>
      <w:r>
        <w:rPr>
          <w:rFonts w:cs="Arial"/>
          <w:b/>
          <w:sz w:val="16"/>
          <w:szCs w:val="16"/>
        </w:rPr>
        <w:t>1:</w:t>
      </w:r>
      <w:r w:rsidRPr="005179B2">
        <w:rPr>
          <w:rFonts w:cs="Arial"/>
          <w:b/>
          <w:sz w:val="16"/>
          <w:szCs w:val="16"/>
        </w:rPr>
        <w:t xml:space="preserve"> </w:t>
      </w:r>
      <w:r>
        <w:rPr>
          <w:rFonts w:cs="Arial"/>
          <w:i/>
          <w:sz w:val="16"/>
          <w:szCs w:val="16"/>
        </w:rPr>
        <w:t>FHI</w:t>
      </w:r>
      <w:r w:rsidRPr="001D75A0">
        <w:rPr>
          <w:rFonts w:cs="Arial"/>
          <w:i/>
          <w:sz w:val="16"/>
          <w:szCs w:val="16"/>
        </w:rPr>
        <w:t xml:space="preserve"> calculation process flow.</w:t>
      </w:r>
    </w:p>
    <w:p w14:paraId="65ACD106" w14:textId="77777777" w:rsidR="003647FD" w:rsidRDefault="003647FD" w:rsidP="003647FD">
      <w:pPr>
        <w:spacing w:before="240" w:after="240" w:line="300" w:lineRule="auto"/>
        <w:jc w:val="both"/>
        <w:rPr>
          <w:rFonts w:cs="Arial"/>
        </w:rPr>
      </w:pPr>
      <w:r w:rsidRPr="00336F98">
        <w:rPr>
          <w:noProof/>
          <w:lang w:eastAsia="en-AU"/>
        </w:rPr>
        <w:lastRenderedPageBreak/>
        <w:drawing>
          <wp:inline distT="0" distB="0" distL="0" distR="0" wp14:anchorId="35FD2EFA" wp14:editId="4CFFF979">
            <wp:extent cx="4827181" cy="3763926"/>
            <wp:effectExtent l="38100" t="0" r="12065" b="27305"/>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1DBB856" w14:textId="77777777" w:rsidR="003647FD" w:rsidRPr="001D75A0" w:rsidRDefault="003647FD" w:rsidP="003647FD">
      <w:pPr>
        <w:pStyle w:val="Heading2"/>
      </w:pPr>
      <w:bookmarkStart w:id="4" w:name="_Toc442946966"/>
      <w:r w:rsidRPr="001D75A0">
        <w:t>Scoring Functions</w:t>
      </w:r>
      <w:bookmarkEnd w:id="4"/>
    </w:p>
    <w:p w14:paraId="553B76F6" w14:textId="77777777" w:rsidR="003647FD" w:rsidRDefault="003647FD" w:rsidP="003647FD">
      <w:pPr>
        <w:spacing w:before="240" w:after="240" w:line="300" w:lineRule="auto"/>
        <w:jc w:val="both"/>
        <w:rPr>
          <w:rFonts w:cs="Arial"/>
        </w:rPr>
      </w:pPr>
      <w:r>
        <w:rPr>
          <w:rFonts w:cs="Arial"/>
        </w:rPr>
        <w:t xml:space="preserve">The scoring functions are piecewise-linear functions that map three ratio values </w:t>
      </w:r>
      <m:oMath>
        <m:r>
          <w:rPr>
            <w:rFonts w:ascii="Cambria Math" w:hAnsi="Cambria Math" w:cs="Arial"/>
          </w:rPr>
          <m:t>(a,b,c)</m:t>
        </m:r>
      </m:oMath>
      <w:r>
        <w:rPr>
          <w:rFonts w:cs="Arial"/>
        </w:rPr>
        <w:t xml:space="preserve"> identified as (Low, Benchmark, High) outcomes to the scores </w:t>
      </w:r>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=S</m:t>
        </m:r>
        <m:d>
          <m:dPr>
            <m:ctrlPr>
              <w:rPr>
                <w:rFonts w:ascii="Cambria Math" w:hAnsi="Cambria Math" w:cs="Arial"/>
                <w:i/>
              </w:rPr>
            </m:ctrlPr>
          </m:dPr>
          <m:e>
            <m:r>
              <w:rPr>
                <w:rFonts w:ascii="Cambria Math" w:hAnsi="Cambria Math" w:cs="Arial"/>
              </w:rPr>
              <m:t>a</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=S</m:t>
        </m:r>
        <m:d>
          <m:dPr>
            <m:ctrlPr>
              <w:rPr>
                <w:rFonts w:ascii="Cambria Math" w:hAnsi="Cambria Math" w:cs="Arial"/>
                <w:i/>
              </w:rPr>
            </m:ctrlPr>
          </m:dPr>
          <m:e>
            <m:r>
              <w:rPr>
                <w:rFonts w:ascii="Cambria Math" w:hAnsi="Cambria Math" w:cs="Arial"/>
              </w:rPr>
              <m:t>b</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r>
          <w:rPr>
            <w:rFonts w:ascii="Cambria Math" w:hAnsi="Cambria Math" w:cs="Arial"/>
          </w:rPr>
          <m:t>=S</m:t>
        </m:r>
        <m:d>
          <m:dPr>
            <m:ctrlPr>
              <w:rPr>
                <w:rFonts w:ascii="Cambria Math" w:hAnsi="Cambria Math" w:cs="Arial"/>
                <w:i/>
              </w:rPr>
            </m:ctrlPr>
          </m:dPr>
          <m:e>
            <m:r>
              <w:rPr>
                <w:rFonts w:ascii="Cambria Math" w:hAnsi="Cambria Math" w:cs="Arial"/>
              </w:rPr>
              <m:t>c</m:t>
            </m:r>
          </m:e>
        </m:d>
      </m:oMath>
      <w:r>
        <w:rPr>
          <w:rFonts w:cs="Arial"/>
        </w:rPr>
        <w:t xml:space="preserve">. The chosen scoring values are </w:t>
      </w:r>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r>
          <w:rPr>
            <w:rFonts w:ascii="Cambria Math" w:hAnsi="Cambria Math" w:cs="Arial"/>
          </w:rPr>
          <m:t>)=(0,7,10)</m:t>
        </m:r>
      </m:oMath>
      <w:r>
        <w:rPr>
          <w:rFonts w:cs="Arial"/>
        </w:rPr>
        <w:t xml:space="preserve">, and an example function for the Current ratio is shown in Figure 1, below. Note that a floor and cap are used to ensure that no </w:t>
      </w:r>
      <w:r>
        <w:rPr>
          <w:lang w:eastAsia="en-AU"/>
        </w:rPr>
        <w:t xml:space="preserve">local government </w:t>
      </w:r>
      <w:r>
        <w:rPr>
          <w:rFonts w:cs="Arial"/>
        </w:rPr>
        <w:t xml:space="preserve">can be scored worse than zero nor better than 10 for any ratio. The general scoring functions for a ratio value </w:t>
      </w:r>
      <m:oMath>
        <m:r>
          <w:rPr>
            <w:rFonts w:ascii="Cambria Math" w:hAnsi="Cambria Math" w:cs="Arial"/>
          </w:rPr>
          <m:t>r</m:t>
        </m:r>
      </m:oMath>
      <w:r>
        <w:rPr>
          <w:rFonts w:cs="Arial"/>
        </w:rPr>
        <w:t xml:space="preserve"> can be expressed mathematically as:</w:t>
      </w:r>
    </w:p>
    <w:p w14:paraId="654F8C4A" w14:textId="77777777" w:rsidR="003647FD" w:rsidRPr="00E027EC" w:rsidRDefault="003647FD" w:rsidP="003647FD">
      <w:pPr>
        <w:spacing w:after="240" w:line="300" w:lineRule="auto"/>
        <w:jc w:val="both"/>
        <w:rPr>
          <w:rFonts w:cs="Arial"/>
        </w:rPr>
      </w:pPr>
      <m:oMathPara>
        <m:oMath>
          <m:r>
            <m:rPr>
              <m:sty m:val="p"/>
            </m:rPr>
            <w:rPr>
              <w:rFonts w:ascii="Cambria Math" w:hAnsi="Cambria Math" w:cs="Arial"/>
            </w:rPr>
            <w:lastRenderedPageBreak/>
            <m:t>Score</m:t>
          </m:r>
          <m:r>
            <w:rPr>
              <w:rFonts w:ascii="Cambria Math" w:hAnsi="Cambria Math" w:cs="Arial"/>
            </w:rPr>
            <m:t xml:space="preserve">(r)= </m:t>
          </m:r>
          <m:d>
            <m:dPr>
              <m:begChr m:val="{"/>
              <m:endChr m:val=""/>
              <m:ctrlPr>
                <w:rPr>
                  <w:rFonts w:ascii="Cambria Math" w:hAnsi="Cambria Math" w:cs="Arial"/>
                  <w:i/>
                </w:rPr>
              </m:ctrlPr>
            </m:dPr>
            <m:e>
              <m:m>
                <m:mPr>
                  <m:cGp m:val="8"/>
                  <m:mcs>
                    <m:mc>
                      <m:mcPr>
                        <m:count m:val="1"/>
                        <m:mcJc m:val="center"/>
                      </m:mcPr>
                    </m:mc>
                    <m:mc>
                      <m:mcPr>
                        <m:count m:val="1"/>
                        <m:mcJc m:val="left"/>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s</m:t>
                        </m:r>
                      </m:e>
                      <m:sub>
                        <m:r>
                          <w:rPr>
                            <w:rFonts w:ascii="Cambria Math" w:hAnsi="Cambria Math" w:cs="Arial"/>
                          </w:rPr>
                          <m:t xml:space="preserve">a </m:t>
                        </m:r>
                      </m:sub>
                    </m:sSub>
                  </m:e>
                  <m:e>
                    <m:r>
                      <m:rPr>
                        <m:sty m:val="p"/>
                      </m:rPr>
                      <w:rPr>
                        <w:rFonts w:ascii="Cambria Math" w:hAnsi="Cambria Math" w:cs="Arial"/>
                      </w:rPr>
                      <m:t xml:space="preserve">if </m:t>
                    </m:r>
                    <m:r>
                      <w:rPr>
                        <w:rFonts w:ascii="Cambria Math" w:hAnsi="Cambria Math" w:cs="Arial"/>
                      </w:rPr>
                      <m:t>r≤a</m:t>
                    </m:r>
                  </m:e>
                </m:mr>
                <m:mr>
                  <m:e>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e>
                    </m:d>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r-a</m:t>
                            </m:r>
                          </m:e>
                        </m:d>
                      </m:num>
                      <m:den>
                        <m:d>
                          <m:dPr>
                            <m:ctrlPr>
                              <w:rPr>
                                <w:rFonts w:ascii="Cambria Math" w:hAnsi="Cambria Math" w:cs="Arial"/>
                                <w:i/>
                              </w:rPr>
                            </m:ctrlPr>
                          </m:dPr>
                          <m:e>
                            <m:r>
                              <w:rPr>
                                <w:rFonts w:ascii="Cambria Math" w:hAnsi="Cambria Math" w:cs="Arial"/>
                              </w:rPr>
                              <m:t>b-a</m:t>
                            </m:r>
                          </m:e>
                        </m:d>
                      </m:den>
                    </m:f>
                  </m:e>
                  <m:e>
                    <m:r>
                      <m:rPr>
                        <m:sty m:val="p"/>
                      </m:rPr>
                      <w:rPr>
                        <w:rFonts w:ascii="Cambria Math" w:hAnsi="Cambria Math" w:cs="Arial"/>
                      </w:rPr>
                      <m:t>if a</m:t>
                    </m:r>
                    <m:r>
                      <w:rPr>
                        <w:rFonts w:ascii="Cambria Math" w:hAnsi="Cambria Math" w:cs="Arial"/>
                      </w:rPr>
                      <m:t>&lt;r≤</m:t>
                    </m:r>
                    <m:r>
                      <m:rPr>
                        <m:sty m:val="p"/>
                      </m:rPr>
                      <w:rPr>
                        <w:rFonts w:ascii="Cambria Math" w:hAnsi="Cambria Math" w:cs="Arial"/>
                      </w:rPr>
                      <m:t>b</m:t>
                    </m:r>
                  </m:e>
                </m:mr>
                <m:mr>
                  <m:e>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e>
                    </m:d>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r-b</m:t>
                            </m:r>
                          </m:e>
                        </m:d>
                      </m:num>
                      <m:den>
                        <m:d>
                          <m:dPr>
                            <m:ctrlPr>
                              <w:rPr>
                                <w:rFonts w:ascii="Cambria Math" w:hAnsi="Cambria Math" w:cs="Arial"/>
                                <w:i/>
                              </w:rPr>
                            </m:ctrlPr>
                          </m:dPr>
                          <m:e>
                            <m:r>
                              <w:rPr>
                                <w:rFonts w:ascii="Cambria Math" w:hAnsi="Cambria Math" w:cs="Arial"/>
                              </w:rPr>
                              <m:t>c-b</m:t>
                            </m:r>
                          </m:e>
                        </m:d>
                      </m:den>
                    </m:f>
                  </m:e>
                  <m:e>
                    <m:r>
                      <m:rPr>
                        <m:sty m:val="p"/>
                      </m:rPr>
                      <w:rPr>
                        <w:rFonts w:ascii="Cambria Math" w:hAnsi="Cambria Math" w:cs="Arial"/>
                      </w:rPr>
                      <m:t>if b</m:t>
                    </m:r>
                    <m:r>
                      <w:rPr>
                        <w:rFonts w:ascii="Cambria Math" w:hAnsi="Cambria Math" w:cs="Arial"/>
                      </w:rPr>
                      <m:t>&lt;r≤</m:t>
                    </m:r>
                    <m:r>
                      <m:rPr>
                        <m:sty m:val="p"/>
                      </m:rPr>
                      <w:rPr>
                        <w:rFonts w:ascii="Cambria Math" w:hAnsi="Cambria Math" w:cs="Arial"/>
                      </w:rPr>
                      <m:t>c</m:t>
                    </m:r>
                    <m:ctrlPr>
                      <w:rPr>
                        <w:rFonts w:ascii="Cambria Math" w:eastAsia="Cambria Math" w:hAnsi="Cambria Math" w:cs="Cambria Math"/>
                      </w:rPr>
                    </m:ctrlPr>
                  </m:e>
                </m:mr>
                <m:mr>
                  <m:e>
                    <m:sSub>
                      <m:sSubPr>
                        <m:ctrlPr>
                          <w:rPr>
                            <w:rFonts w:ascii="Cambria Math" w:hAnsi="Cambria Math" w:cs="Arial"/>
                            <w:i/>
                          </w:rPr>
                        </m:ctrlPr>
                      </m:sSubPr>
                      <m:e>
                        <m:r>
                          <w:rPr>
                            <w:rFonts w:ascii="Cambria Math" w:hAnsi="Cambria Math" w:cs="Arial"/>
                          </w:rPr>
                          <m:t>s</m:t>
                        </m:r>
                      </m:e>
                      <m:sub>
                        <m:r>
                          <w:rPr>
                            <w:rFonts w:ascii="Cambria Math" w:hAnsi="Cambria Math" w:cs="Arial"/>
                          </w:rPr>
                          <m:t xml:space="preserve">c </m:t>
                        </m:r>
                      </m:sub>
                    </m:sSub>
                    <m:ctrlPr>
                      <w:rPr>
                        <w:rFonts w:ascii="Cambria Math" w:eastAsia="Cambria Math" w:hAnsi="Cambria Math" w:cs="Cambria Math"/>
                      </w:rPr>
                    </m:ctrlPr>
                  </m:e>
                  <m:e>
                    <m:r>
                      <m:rPr>
                        <m:sty m:val="p"/>
                      </m:rPr>
                      <w:rPr>
                        <w:rFonts w:ascii="Cambria Math" w:eastAsia="Cambria Math" w:hAnsi="Cambria Math" w:cs="Cambria Math"/>
                      </w:rPr>
                      <m:t xml:space="preserve">if </m:t>
                    </m:r>
                    <m:r>
                      <w:rPr>
                        <w:rFonts w:ascii="Cambria Math" w:hAnsi="Cambria Math" w:cs="Arial"/>
                      </w:rPr>
                      <m:t>r&gt;c</m:t>
                    </m:r>
                  </m:e>
                </m:mr>
              </m:m>
            </m:e>
          </m:d>
        </m:oMath>
      </m:oMathPara>
    </w:p>
    <w:p w14:paraId="37C5D351" w14:textId="77777777" w:rsidR="003647FD" w:rsidRDefault="003647FD" w:rsidP="003647FD">
      <w:pPr>
        <w:spacing w:after="240" w:line="300" w:lineRule="auto"/>
        <w:jc w:val="both"/>
        <w:rPr>
          <w:rFonts w:cs="Arial"/>
        </w:rPr>
      </w:pPr>
      <w:r>
        <w:rPr>
          <w:rFonts w:cs="Arial"/>
        </w:rPr>
        <w:t>It can be seen from Figure 2 that the scoring function is piecewise-linear, implying that scoring is asymmetric about the benchmark, i.e., ratios below the benchmark are penalised to a greater extent than ratios above the benchmark. The seven scoring functions are in columns N to T of the Model.</w:t>
      </w:r>
    </w:p>
    <w:p w14:paraId="3B489B80" w14:textId="77777777" w:rsidR="003647FD" w:rsidRDefault="003647FD" w:rsidP="003647FD">
      <w:pPr>
        <w:spacing w:after="240" w:line="300" w:lineRule="auto"/>
        <w:rPr>
          <w:rFonts w:cs="Arial"/>
          <w:i/>
          <w:sz w:val="16"/>
          <w:szCs w:val="16"/>
        </w:rPr>
      </w:pPr>
      <w:r>
        <w:rPr>
          <w:rFonts w:cs="Arial"/>
          <w:noProof/>
          <w:lang w:eastAsia="en-AU"/>
        </w:rPr>
        <w:drawing>
          <wp:anchor distT="0" distB="0" distL="114300" distR="114300" simplePos="0" relativeHeight="251665408" behindDoc="0" locked="0" layoutInCell="1" allowOverlap="1" wp14:anchorId="131269D5" wp14:editId="4472BFCF">
            <wp:simplePos x="0" y="0"/>
            <wp:positionH relativeFrom="margin">
              <wp:posOffset>57150</wp:posOffset>
            </wp:positionH>
            <wp:positionV relativeFrom="paragraph">
              <wp:posOffset>285750</wp:posOffset>
            </wp:positionV>
            <wp:extent cx="3686175" cy="2206584"/>
            <wp:effectExtent l="19050" t="19050" r="9525" b="2286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6175" cy="2206584"/>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cs="Arial"/>
          <w:b/>
          <w:sz w:val="16"/>
          <w:szCs w:val="16"/>
        </w:rPr>
        <w:t>Figure</w:t>
      </w:r>
      <w:r w:rsidRPr="005179B2">
        <w:rPr>
          <w:rFonts w:cs="Arial"/>
          <w:b/>
          <w:sz w:val="16"/>
          <w:szCs w:val="16"/>
        </w:rPr>
        <w:t xml:space="preserve"> </w:t>
      </w:r>
      <w:r>
        <w:rPr>
          <w:rFonts w:cs="Arial"/>
          <w:b/>
          <w:sz w:val="16"/>
          <w:szCs w:val="16"/>
        </w:rPr>
        <w:t>2:</w:t>
      </w:r>
      <w:r w:rsidRPr="005179B2">
        <w:rPr>
          <w:rFonts w:cs="Arial"/>
          <w:b/>
          <w:sz w:val="16"/>
          <w:szCs w:val="16"/>
        </w:rPr>
        <w:t xml:space="preserve"> </w:t>
      </w:r>
      <w:r>
        <w:rPr>
          <w:rFonts w:cs="Arial"/>
          <w:i/>
          <w:sz w:val="16"/>
          <w:szCs w:val="16"/>
        </w:rPr>
        <w:t>Plot of scoring function for the Current Ratio.</w:t>
      </w:r>
    </w:p>
    <w:p w14:paraId="6B824581" w14:textId="77777777" w:rsidR="003647FD" w:rsidRDefault="003647FD" w:rsidP="003647FD">
      <w:pPr>
        <w:spacing w:after="240" w:line="300" w:lineRule="auto"/>
        <w:jc w:val="both"/>
        <w:rPr>
          <w:rFonts w:cs="Arial"/>
        </w:rPr>
      </w:pPr>
    </w:p>
    <w:p w14:paraId="7FB1550E" w14:textId="77777777" w:rsidR="003647FD" w:rsidRDefault="003647FD" w:rsidP="003647FD">
      <w:pPr>
        <w:spacing w:after="240" w:line="300" w:lineRule="auto"/>
        <w:jc w:val="both"/>
        <w:rPr>
          <w:rFonts w:cs="Arial"/>
        </w:rPr>
      </w:pPr>
      <w:r>
        <w:rPr>
          <w:rFonts w:cs="Arial"/>
        </w:rPr>
        <w:t xml:space="preserve">The appropriate function parameters for each ratio have been estimated by DLGC experts and are listed in Table 1 below, and can be found in cells F33 to K40 of the ‘FHI Weightings’ tab in the Model. </w:t>
      </w:r>
    </w:p>
    <w:p w14:paraId="5118E934" w14:textId="77777777" w:rsidR="003647FD" w:rsidRPr="00D93483" w:rsidRDefault="003647FD" w:rsidP="003647FD">
      <w:pPr>
        <w:spacing w:before="240" w:after="240" w:line="300" w:lineRule="auto"/>
        <w:rPr>
          <w:rFonts w:cs="Arial"/>
          <w:i/>
          <w:sz w:val="16"/>
          <w:szCs w:val="16"/>
        </w:rPr>
      </w:pPr>
      <w:r w:rsidRPr="005179B2">
        <w:rPr>
          <w:rFonts w:cs="Arial"/>
          <w:b/>
          <w:sz w:val="16"/>
          <w:szCs w:val="16"/>
        </w:rPr>
        <w:t xml:space="preserve">Table </w:t>
      </w:r>
      <w:r>
        <w:rPr>
          <w:rFonts w:cs="Arial"/>
          <w:b/>
          <w:sz w:val="16"/>
          <w:szCs w:val="16"/>
        </w:rPr>
        <w:t xml:space="preserve">1: </w:t>
      </w:r>
      <w:r w:rsidRPr="001E585E">
        <w:rPr>
          <w:rFonts w:cs="Arial"/>
          <w:i/>
          <w:sz w:val="16"/>
          <w:szCs w:val="16"/>
        </w:rPr>
        <w:t>Parameters for the ratio scoring functions.</w:t>
      </w:r>
    </w:p>
    <w:tbl>
      <w:tblPr>
        <w:tblW w:w="9239" w:type="dxa"/>
        <w:tblInd w:w="93" w:type="dxa"/>
        <w:tblLook w:val="04A0" w:firstRow="1" w:lastRow="0" w:firstColumn="1" w:lastColumn="0" w:noHBand="0" w:noVBand="1"/>
      </w:tblPr>
      <w:tblGrid>
        <w:gridCol w:w="2178"/>
        <w:gridCol w:w="1207"/>
        <w:gridCol w:w="1276"/>
        <w:gridCol w:w="1087"/>
        <w:gridCol w:w="1087"/>
        <w:gridCol w:w="1276"/>
        <w:gridCol w:w="1128"/>
      </w:tblGrid>
      <w:tr w:rsidR="003647FD" w:rsidRPr="00584B43" w14:paraId="1A9C7781" w14:textId="77777777" w:rsidTr="00073F3D">
        <w:trPr>
          <w:trHeight w:val="639"/>
        </w:trPr>
        <w:tc>
          <w:tcPr>
            <w:tcW w:w="2178" w:type="dxa"/>
            <w:tcBorders>
              <w:top w:val="single" w:sz="4" w:space="0" w:color="auto"/>
              <w:left w:val="single" w:sz="4" w:space="0" w:color="auto"/>
              <w:bottom w:val="single" w:sz="4" w:space="0" w:color="auto"/>
              <w:right w:val="single" w:sz="4" w:space="0" w:color="auto"/>
            </w:tcBorders>
            <w:shd w:val="clear" w:color="000000" w:fill="003767"/>
            <w:vAlign w:val="center"/>
            <w:hideMark/>
          </w:tcPr>
          <w:p w14:paraId="43B7581E" w14:textId="77777777" w:rsidR="003647FD" w:rsidRPr="00584B43" w:rsidRDefault="003647FD" w:rsidP="00073F3D">
            <w:pPr>
              <w:jc w:val="center"/>
              <w:rPr>
                <w:rFonts w:cs="Arial"/>
                <w:color w:val="FFFFFF"/>
                <w:sz w:val="18"/>
                <w:szCs w:val="18"/>
                <w:lang w:eastAsia="en-AU"/>
              </w:rPr>
            </w:pPr>
            <w:r w:rsidRPr="00584B43">
              <w:rPr>
                <w:rFonts w:cs="Arial"/>
                <w:color w:val="FFFFFF"/>
                <w:sz w:val="18"/>
                <w:szCs w:val="18"/>
                <w:lang w:eastAsia="en-AU"/>
              </w:rPr>
              <w:lastRenderedPageBreak/>
              <w:t xml:space="preserve">Ratio Name </w:t>
            </w:r>
          </w:p>
        </w:tc>
        <w:tc>
          <w:tcPr>
            <w:tcW w:w="1207" w:type="dxa"/>
            <w:tcBorders>
              <w:top w:val="single" w:sz="4" w:space="0" w:color="auto"/>
              <w:left w:val="nil"/>
              <w:bottom w:val="single" w:sz="4" w:space="0" w:color="auto"/>
              <w:right w:val="single" w:sz="4" w:space="0" w:color="auto"/>
            </w:tcBorders>
            <w:shd w:val="clear" w:color="000000" w:fill="003767"/>
            <w:vAlign w:val="center"/>
            <w:hideMark/>
          </w:tcPr>
          <w:p w14:paraId="6BBC43C6" w14:textId="77777777" w:rsidR="003647FD" w:rsidRPr="00584B43" w:rsidRDefault="003647FD" w:rsidP="00073F3D">
            <w:pPr>
              <w:jc w:val="center"/>
              <w:rPr>
                <w:rFonts w:cs="Arial"/>
                <w:color w:val="FFFFFF"/>
                <w:sz w:val="18"/>
                <w:szCs w:val="18"/>
                <w:lang w:eastAsia="en-AU"/>
              </w:rPr>
            </w:pPr>
            <w:r>
              <w:rPr>
                <w:rFonts w:cs="Arial"/>
                <w:color w:val="FFFFFF"/>
                <w:sz w:val="18"/>
                <w:szCs w:val="18"/>
                <w:lang w:eastAsia="en-AU"/>
              </w:rPr>
              <w:t xml:space="preserve"> Low </w:t>
            </w:r>
            <w:r w:rsidRPr="00584B43">
              <w:rPr>
                <w:rFonts w:cs="Arial"/>
                <w:color w:val="FFFFFF"/>
                <w:sz w:val="18"/>
                <w:szCs w:val="18"/>
                <w:lang w:eastAsia="en-AU"/>
              </w:rPr>
              <w:t xml:space="preserve">Ratio </w:t>
            </w:r>
          </w:p>
        </w:tc>
        <w:tc>
          <w:tcPr>
            <w:tcW w:w="1276" w:type="dxa"/>
            <w:tcBorders>
              <w:top w:val="single" w:sz="4" w:space="0" w:color="auto"/>
              <w:left w:val="nil"/>
              <w:bottom w:val="single" w:sz="4" w:space="0" w:color="auto"/>
              <w:right w:val="single" w:sz="4" w:space="0" w:color="auto"/>
            </w:tcBorders>
            <w:shd w:val="clear" w:color="000000" w:fill="003767"/>
            <w:vAlign w:val="center"/>
            <w:hideMark/>
          </w:tcPr>
          <w:p w14:paraId="3080EAB5" w14:textId="77777777" w:rsidR="003647FD" w:rsidRPr="00584B43" w:rsidRDefault="003647FD" w:rsidP="00073F3D">
            <w:pPr>
              <w:jc w:val="center"/>
              <w:rPr>
                <w:rFonts w:cs="Arial"/>
                <w:color w:val="FFFFFF"/>
                <w:sz w:val="18"/>
                <w:szCs w:val="18"/>
                <w:lang w:eastAsia="en-AU"/>
              </w:rPr>
            </w:pPr>
            <w:r w:rsidRPr="00584B43">
              <w:rPr>
                <w:rFonts w:cs="Arial"/>
                <w:color w:val="FFFFFF"/>
                <w:sz w:val="18"/>
                <w:szCs w:val="18"/>
                <w:lang w:eastAsia="en-AU"/>
              </w:rPr>
              <w:t xml:space="preserve"> Benchmark Ratio </w:t>
            </w:r>
          </w:p>
        </w:tc>
        <w:tc>
          <w:tcPr>
            <w:tcW w:w="1087" w:type="dxa"/>
            <w:tcBorders>
              <w:top w:val="single" w:sz="4" w:space="0" w:color="auto"/>
              <w:left w:val="nil"/>
              <w:bottom w:val="single" w:sz="4" w:space="0" w:color="auto"/>
              <w:right w:val="single" w:sz="4" w:space="0" w:color="auto"/>
            </w:tcBorders>
            <w:shd w:val="clear" w:color="000000" w:fill="003767"/>
            <w:vAlign w:val="center"/>
            <w:hideMark/>
          </w:tcPr>
          <w:p w14:paraId="5CB8EB42" w14:textId="77777777" w:rsidR="003647FD" w:rsidRPr="00584B43" w:rsidRDefault="003647FD" w:rsidP="00073F3D">
            <w:pPr>
              <w:jc w:val="center"/>
              <w:rPr>
                <w:rFonts w:cs="Arial"/>
                <w:color w:val="FFFFFF"/>
                <w:sz w:val="18"/>
                <w:szCs w:val="18"/>
                <w:lang w:eastAsia="en-AU"/>
              </w:rPr>
            </w:pPr>
            <w:r>
              <w:rPr>
                <w:rFonts w:cs="Arial"/>
                <w:color w:val="FFFFFF"/>
                <w:sz w:val="18"/>
                <w:szCs w:val="18"/>
                <w:lang w:eastAsia="en-AU"/>
              </w:rPr>
              <w:t>High</w:t>
            </w:r>
            <w:r w:rsidRPr="00584B43">
              <w:rPr>
                <w:rFonts w:cs="Arial"/>
                <w:color w:val="FFFFFF"/>
                <w:sz w:val="18"/>
                <w:szCs w:val="18"/>
                <w:lang w:eastAsia="en-AU"/>
              </w:rPr>
              <w:t xml:space="preserve">         Ratio </w:t>
            </w:r>
          </w:p>
        </w:tc>
        <w:tc>
          <w:tcPr>
            <w:tcW w:w="1087" w:type="dxa"/>
            <w:tcBorders>
              <w:top w:val="single" w:sz="4" w:space="0" w:color="auto"/>
              <w:left w:val="nil"/>
              <w:bottom w:val="single" w:sz="4" w:space="0" w:color="auto"/>
              <w:right w:val="single" w:sz="4" w:space="0" w:color="auto"/>
            </w:tcBorders>
            <w:shd w:val="clear" w:color="000000" w:fill="003767"/>
            <w:vAlign w:val="center"/>
            <w:hideMark/>
          </w:tcPr>
          <w:p w14:paraId="3D262416" w14:textId="77777777" w:rsidR="003647FD" w:rsidRPr="00584B43" w:rsidRDefault="003647FD" w:rsidP="00073F3D">
            <w:pPr>
              <w:jc w:val="center"/>
              <w:rPr>
                <w:rFonts w:cs="Arial"/>
                <w:color w:val="FFFFFF"/>
                <w:sz w:val="18"/>
                <w:szCs w:val="18"/>
                <w:lang w:eastAsia="en-AU"/>
              </w:rPr>
            </w:pPr>
            <w:r w:rsidRPr="00584B43">
              <w:rPr>
                <w:rFonts w:cs="Arial"/>
                <w:color w:val="FFFFFF"/>
                <w:sz w:val="18"/>
                <w:szCs w:val="18"/>
                <w:lang w:eastAsia="en-AU"/>
              </w:rPr>
              <w:t xml:space="preserve"> Minimum Score </w:t>
            </w:r>
          </w:p>
        </w:tc>
        <w:tc>
          <w:tcPr>
            <w:tcW w:w="1276" w:type="dxa"/>
            <w:tcBorders>
              <w:top w:val="single" w:sz="4" w:space="0" w:color="auto"/>
              <w:left w:val="nil"/>
              <w:bottom w:val="single" w:sz="4" w:space="0" w:color="auto"/>
              <w:right w:val="single" w:sz="4" w:space="0" w:color="auto"/>
            </w:tcBorders>
            <w:shd w:val="clear" w:color="000000" w:fill="003767"/>
            <w:vAlign w:val="center"/>
            <w:hideMark/>
          </w:tcPr>
          <w:p w14:paraId="7B43230D" w14:textId="77777777" w:rsidR="003647FD" w:rsidRPr="00584B43" w:rsidRDefault="003647FD" w:rsidP="00073F3D">
            <w:pPr>
              <w:jc w:val="center"/>
              <w:rPr>
                <w:rFonts w:cs="Arial"/>
                <w:color w:val="FFFFFF"/>
                <w:sz w:val="18"/>
                <w:szCs w:val="18"/>
                <w:lang w:eastAsia="en-AU"/>
              </w:rPr>
            </w:pPr>
            <w:r w:rsidRPr="00584B43">
              <w:rPr>
                <w:rFonts w:cs="Arial"/>
                <w:color w:val="FFFFFF"/>
                <w:sz w:val="18"/>
                <w:szCs w:val="18"/>
                <w:lang w:eastAsia="en-AU"/>
              </w:rPr>
              <w:t xml:space="preserve"> Benchmark Score </w:t>
            </w:r>
          </w:p>
        </w:tc>
        <w:tc>
          <w:tcPr>
            <w:tcW w:w="1128" w:type="dxa"/>
            <w:tcBorders>
              <w:top w:val="nil"/>
              <w:left w:val="nil"/>
              <w:bottom w:val="nil"/>
              <w:right w:val="nil"/>
            </w:tcBorders>
            <w:shd w:val="clear" w:color="000000" w:fill="003767"/>
            <w:vAlign w:val="center"/>
            <w:hideMark/>
          </w:tcPr>
          <w:p w14:paraId="59A4995D" w14:textId="77777777" w:rsidR="003647FD" w:rsidRPr="00584B43" w:rsidRDefault="003647FD" w:rsidP="00073F3D">
            <w:pPr>
              <w:jc w:val="center"/>
              <w:rPr>
                <w:rFonts w:cs="Arial"/>
                <w:color w:val="FFFFFF"/>
                <w:sz w:val="18"/>
                <w:szCs w:val="18"/>
                <w:lang w:eastAsia="en-AU"/>
              </w:rPr>
            </w:pPr>
            <w:r w:rsidRPr="00584B43">
              <w:rPr>
                <w:rFonts w:cs="Arial"/>
                <w:color w:val="FFFFFF"/>
                <w:sz w:val="18"/>
                <w:szCs w:val="18"/>
                <w:lang w:eastAsia="en-AU"/>
              </w:rPr>
              <w:t xml:space="preserve"> Maximum Score </w:t>
            </w:r>
          </w:p>
        </w:tc>
      </w:tr>
      <w:tr w:rsidR="003647FD" w:rsidRPr="00584B43" w14:paraId="4272CAFC"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7FA146DB"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Current </w:t>
            </w:r>
          </w:p>
        </w:tc>
        <w:tc>
          <w:tcPr>
            <w:tcW w:w="1207" w:type="dxa"/>
            <w:tcBorders>
              <w:top w:val="nil"/>
              <w:left w:val="nil"/>
              <w:bottom w:val="single" w:sz="4" w:space="0" w:color="auto"/>
              <w:right w:val="single" w:sz="4" w:space="0" w:color="auto"/>
            </w:tcBorders>
            <w:shd w:val="clear" w:color="000000" w:fill="FFFFCC"/>
            <w:noWrap/>
            <w:vAlign w:val="bottom"/>
            <w:hideMark/>
          </w:tcPr>
          <w:p w14:paraId="69284C32"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0.75</w:t>
            </w:r>
          </w:p>
        </w:tc>
        <w:tc>
          <w:tcPr>
            <w:tcW w:w="1276" w:type="dxa"/>
            <w:tcBorders>
              <w:top w:val="nil"/>
              <w:left w:val="nil"/>
              <w:bottom w:val="single" w:sz="4" w:space="0" w:color="auto"/>
              <w:right w:val="single" w:sz="4" w:space="0" w:color="auto"/>
            </w:tcBorders>
            <w:shd w:val="clear" w:color="000000" w:fill="FFFFCC"/>
            <w:noWrap/>
            <w:vAlign w:val="bottom"/>
            <w:hideMark/>
          </w:tcPr>
          <w:p w14:paraId="4A00181E"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w:t>
            </w:r>
          </w:p>
        </w:tc>
        <w:tc>
          <w:tcPr>
            <w:tcW w:w="1087" w:type="dxa"/>
            <w:tcBorders>
              <w:top w:val="nil"/>
              <w:left w:val="nil"/>
              <w:bottom w:val="single" w:sz="4" w:space="0" w:color="auto"/>
              <w:right w:val="single" w:sz="4" w:space="0" w:color="auto"/>
            </w:tcBorders>
            <w:shd w:val="clear" w:color="000000" w:fill="FFFFCC"/>
            <w:noWrap/>
            <w:vAlign w:val="bottom"/>
            <w:hideMark/>
          </w:tcPr>
          <w:p w14:paraId="00AA1DB4"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1.50</w:t>
            </w:r>
          </w:p>
        </w:tc>
        <w:tc>
          <w:tcPr>
            <w:tcW w:w="1087" w:type="dxa"/>
            <w:tcBorders>
              <w:top w:val="nil"/>
              <w:left w:val="nil"/>
              <w:bottom w:val="single" w:sz="4" w:space="0" w:color="auto"/>
              <w:right w:val="single" w:sz="4" w:space="0" w:color="auto"/>
            </w:tcBorders>
            <w:shd w:val="clear" w:color="000000" w:fill="FFFFCC"/>
            <w:noWrap/>
            <w:vAlign w:val="bottom"/>
            <w:hideMark/>
          </w:tcPr>
          <w:p w14:paraId="19423DF6"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1D4FC95B"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single" w:sz="4" w:space="0" w:color="auto"/>
              <w:left w:val="nil"/>
              <w:bottom w:val="single" w:sz="4" w:space="0" w:color="auto"/>
              <w:right w:val="single" w:sz="4" w:space="0" w:color="auto"/>
            </w:tcBorders>
            <w:shd w:val="clear" w:color="000000" w:fill="FFFFCC"/>
            <w:noWrap/>
            <w:vAlign w:val="bottom"/>
            <w:hideMark/>
          </w:tcPr>
          <w:p w14:paraId="18EC75E0"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r w:rsidR="003647FD" w:rsidRPr="00584B43" w14:paraId="0058FFC2"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48E1F502"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Asset Consum</w:t>
            </w:r>
            <w:r>
              <w:rPr>
                <w:rFonts w:cs="Arial"/>
                <w:color w:val="000000"/>
                <w:sz w:val="18"/>
                <w:szCs w:val="18"/>
                <w:lang w:eastAsia="en-AU"/>
              </w:rPr>
              <w:t>ption</w:t>
            </w:r>
            <w:r w:rsidRPr="00584B43">
              <w:rPr>
                <w:rFonts w:cs="Arial"/>
                <w:color w:val="000000"/>
                <w:sz w:val="18"/>
                <w:szCs w:val="18"/>
                <w:lang w:eastAsia="en-AU"/>
              </w:rPr>
              <w:t xml:space="preserve"> </w:t>
            </w:r>
          </w:p>
        </w:tc>
        <w:tc>
          <w:tcPr>
            <w:tcW w:w="1207" w:type="dxa"/>
            <w:tcBorders>
              <w:top w:val="nil"/>
              <w:left w:val="nil"/>
              <w:bottom w:val="single" w:sz="4" w:space="0" w:color="auto"/>
              <w:right w:val="single" w:sz="4" w:space="0" w:color="auto"/>
            </w:tcBorders>
            <w:shd w:val="clear" w:color="000000" w:fill="FFFFCC"/>
            <w:noWrap/>
            <w:vAlign w:val="bottom"/>
            <w:hideMark/>
          </w:tcPr>
          <w:p w14:paraId="1F812C97"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0.40</w:t>
            </w:r>
          </w:p>
        </w:tc>
        <w:tc>
          <w:tcPr>
            <w:tcW w:w="1276" w:type="dxa"/>
            <w:tcBorders>
              <w:top w:val="nil"/>
              <w:left w:val="nil"/>
              <w:bottom w:val="single" w:sz="4" w:space="0" w:color="auto"/>
              <w:right w:val="single" w:sz="4" w:space="0" w:color="auto"/>
            </w:tcBorders>
            <w:shd w:val="clear" w:color="000000" w:fill="FFFFCC"/>
            <w:noWrap/>
            <w:vAlign w:val="bottom"/>
            <w:hideMark/>
          </w:tcPr>
          <w:p w14:paraId="39984EAF"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0.50</w:t>
            </w:r>
          </w:p>
        </w:tc>
        <w:tc>
          <w:tcPr>
            <w:tcW w:w="1087" w:type="dxa"/>
            <w:tcBorders>
              <w:top w:val="nil"/>
              <w:left w:val="nil"/>
              <w:bottom w:val="single" w:sz="4" w:space="0" w:color="auto"/>
              <w:right w:val="single" w:sz="4" w:space="0" w:color="auto"/>
            </w:tcBorders>
            <w:shd w:val="clear" w:color="000000" w:fill="FFFFCC"/>
            <w:noWrap/>
            <w:vAlign w:val="bottom"/>
            <w:hideMark/>
          </w:tcPr>
          <w:p w14:paraId="230F6166"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0.75</w:t>
            </w:r>
          </w:p>
        </w:tc>
        <w:tc>
          <w:tcPr>
            <w:tcW w:w="1087" w:type="dxa"/>
            <w:tcBorders>
              <w:top w:val="nil"/>
              <w:left w:val="nil"/>
              <w:bottom w:val="single" w:sz="4" w:space="0" w:color="auto"/>
              <w:right w:val="single" w:sz="4" w:space="0" w:color="auto"/>
            </w:tcBorders>
            <w:shd w:val="clear" w:color="000000" w:fill="FFFFCC"/>
            <w:noWrap/>
            <w:vAlign w:val="bottom"/>
            <w:hideMark/>
          </w:tcPr>
          <w:p w14:paraId="20184705"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5E6950CC"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nil"/>
              <w:left w:val="nil"/>
              <w:bottom w:val="single" w:sz="4" w:space="0" w:color="auto"/>
              <w:right w:val="single" w:sz="4" w:space="0" w:color="auto"/>
            </w:tcBorders>
            <w:shd w:val="clear" w:color="000000" w:fill="FFFFCC"/>
            <w:noWrap/>
            <w:vAlign w:val="bottom"/>
            <w:hideMark/>
          </w:tcPr>
          <w:p w14:paraId="094D94FA"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r w:rsidR="003647FD" w:rsidRPr="00584B43" w14:paraId="34B41727"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71586D25"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Asset Renewal </w:t>
            </w:r>
            <w:r>
              <w:rPr>
                <w:rFonts w:cs="Arial"/>
                <w:color w:val="000000"/>
                <w:sz w:val="18"/>
                <w:szCs w:val="18"/>
                <w:lang w:eastAsia="en-AU"/>
              </w:rPr>
              <w:t>Funding</w:t>
            </w:r>
          </w:p>
        </w:tc>
        <w:tc>
          <w:tcPr>
            <w:tcW w:w="1207" w:type="dxa"/>
            <w:tcBorders>
              <w:top w:val="nil"/>
              <w:left w:val="nil"/>
              <w:bottom w:val="single" w:sz="4" w:space="0" w:color="auto"/>
              <w:right w:val="single" w:sz="4" w:space="0" w:color="auto"/>
            </w:tcBorders>
            <w:shd w:val="clear" w:color="000000" w:fill="FFFFCC"/>
            <w:noWrap/>
            <w:vAlign w:val="bottom"/>
            <w:hideMark/>
          </w:tcPr>
          <w:p w14:paraId="68602312"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0.50</w:t>
            </w:r>
          </w:p>
        </w:tc>
        <w:tc>
          <w:tcPr>
            <w:tcW w:w="1276" w:type="dxa"/>
            <w:tcBorders>
              <w:top w:val="nil"/>
              <w:left w:val="nil"/>
              <w:bottom w:val="single" w:sz="4" w:space="0" w:color="auto"/>
              <w:right w:val="single" w:sz="4" w:space="0" w:color="auto"/>
            </w:tcBorders>
            <w:shd w:val="clear" w:color="000000" w:fill="FFFFCC"/>
            <w:noWrap/>
            <w:vAlign w:val="bottom"/>
            <w:hideMark/>
          </w:tcPr>
          <w:p w14:paraId="4B2E50B7"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0.75</w:t>
            </w:r>
          </w:p>
        </w:tc>
        <w:tc>
          <w:tcPr>
            <w:tcW w:w="1087" w:type="dxa"/>
            <w:tcBorders>
              <w:top w:val="nil"/>
              <w:left w:val="nil"/>
              <w:bottom w:val="single" w:sz="4" w:space="0" w:color="auto"/>
              <w:right w:val="single" w:sz="4" w:space="0" w:color="auto"/>
            </w:tcBorders>
            <w:shd w:val="clear" w:color="000000" w:fill="FFFFCC"/>
            <w:noWrap/>
            <w:vAlign w:val="bottom"/>
            <w:hideMark/>
          </w:tcPr>
          <w:p w14:paraId="4ADB5AE4"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1.10</w:t>
            </w:r>
          </w:p>
        </w:tc>
        <w:tc>
          <w:tcPr>
            <w:tcW w:w="1087" w:type="dxa"/>
            <w:tcBorders>
              <w:top w:val="nil"/>
              <w:left w:val="nil"/>
              <w:bottom w:val="single" w:sz="4" w:space="0" w:color="auto"/>
              <w:right w:val="single" w:sz="4" w:space="0" w:color="auto"/>
            </w:tcBorders>
            <w:shd w:val="clear" w:color="000000" w:fill="FFFFCC"/>
            <w:noWrap/>
            <w:vAlign w:val="bottom"/>
            <w:hideMark/>
          </w:tcPr>
          <w:p w14:paraId="5C3AB192"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52BB1896"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nil"/>
              <w:left w:val="nil"/>
              <w:bottom w:val="single" w:sz="4" w:space="0" w:color="auto"/>
              <w:right w:val="single" w:sz="4" w:space="0" w:color="auto"/>
            </w:tcBorders>
            <w:shd w:val="clear" w:color="000000" w:fill="FFFFCC"/>
            <w:noWrap/>
            <w:vAlign w:val="bottom"/>
            <w:hideMark/>
          </w:tcPr>
          <w:p w14:paraId="6EAB1791"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r w:rsidR="003647FD" w:rsidRPr="00584B43" w14:paraId="0EF3274F"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7BE90835"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Asset Sustain</w:t>
            </w:r>
            <w:r>
              <w:rPr>
                <w:rFonts w:cs="Arial"/>
                <w:color w:val="000000"/>
                <w:sz w:val="18"/>
                <w:szCs w:val="18"/>
                <w:lang w:eastAsia="en-AU"/>
              </w:rPr>
              <w:t>ability</w:t>
            </w:r>
            <w:r w:rsidRPr="00584B43">
              <w:rPr>
                <w:rFonts w:cs="Arial"/>
                <w:color w:val="000000"/>
                <w:sz w:val="18"/>
                <w:szCs w:val="18"/>
                <w:lang w:eastAsia="en-AU"/>
              </w:rPr>
              <w:t xml:space="preserve"> </w:t>
            </w:r>
          </w:p>
        </w:tc>
        <w:tc>
          <w:tcPr>
            <w:tcW w:w="1207" w:type="dxa"/>
            <w:tcBorders>
              <w:top w:val="nil"/>
              <w:left w:val="nil"/>
              <w:bottom w:val="single" w:sz="4" w:space="0" w:color="auto"/>
              <w:right w:val="single" w:sz="4" w:space="0" w:color="auto"/>
            </w:tcBorders>
            <w:shd w:val="clear" w:color="000000" w:fill="FFFFCC"/>
            <w:noWrap/>
            <w:vAlign w:val="bottom"/>
            <w:hideMark/>
          </w:tcPr>
          <w:p w14:paraId="35ECDFAD"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0.75</w:t>
            </w:r>
          </w:p>
        </w:tc>
        <w:tc>
          <w:tcPr>
            <w:tcW w:w="1276" w:type="dxa"/>
            <w:tcBorders>
              <w:top w:val="nil"/>
              <w:left w:val="nil"/>
              <w:bottom w:val="single" w:sz="4" w:space="0" w:color="auto"/>
              <w:right w:val="single" w:sz="4" w:space="0" w:color="auto"/>
            </w:tcBorders>
            <w:shd w:val="clear" w:color="000000" w:fill="FFFFCC"/>
            <w:noWrap/>
            <w:vAlign w:val="bottom"/>
            <w:hideMark/>
          </w:tcPr>
          <w:p w14:paraId="5B4DC497"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0.90</w:t>
            </w:r>
          </w:p>
        </w:tc>
        <w:tc>
          <w:tcPr>
            <w:tcW w:w="1087" w:type="dxa"/>
            <w:tcBorders>
              <w:top w:val="nil"/>
              <w:left w:val="nil"/>
              <w:bottom w:val="single" w:sz="4" w:space="0" w:color="auto"/>
              <w:right w:val="single" w:sz="4" w:space="0" w:color="auto"/>
            </w:tcBorders>
            <w:shd w:val="clear" w:color="000000" w:fill="FFFFCC"/>
            <w:noWrap/>
            <w:vAlign w:val="bottom"/>
            <w:hideMark/>
          </w:tcPr>
          <w:p w14:paraId="517BBF67"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1.20</w:t>
            </w:r>
          </w:p>
        </w:tc>
        <w:tc>
          <w:tcPr>
            <w:tcW w:w="1087" w:type="dxa"/>
            <w:tcBorders>
              <w:top w:val="nil"/>
              <w:left w:val="nil"/>
              <w:bottom w:val="single" w:sz="4" w:space="0" w:color="auto"/>
              <w:right w:val="single" w:sz="4" w:space="0" w:color="auto"/>
            </w:tcBorders>
            <w:shd w:val="clear" w:color="000000" w:fill="FFFFCC"/>
            <w:noWrap/>
            <w:vAlign w:val="bottom"/>
            <w:hideMark/>
          </w:tcPr>
          <w:p w14:paraId="136AB780"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000E5E41"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nil"/>
              <w:left w:val="nil"/>
              <w:bottom w:val="single" w:sz="4" w:space="0" w:color="auto"/>
              <w:right w:val="single" w:sz="4" w:space="0" w:color="auto"/>
            </w:tcBorders>
            <w:shd w:val="clear" w:color="000000" w:fill="FFFFCC"/>
            <w:noWrap/>
            <w:vAlign w:val="bottom"/>
            <w:hideMark/>
          </w:tcPr>
          <w:p w14:paraId="4242924B"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r w:rsidR="003647FD" w:rsidRPr="00584B43" w14:paraId="6D6782DB"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2137BD92"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Debt Service </w:t>
            </w:r>
            <w:r>
              <w:rPr>
                <w:rFonts w:cs="Arial"/>
                <w:color w:val="000000"/>
                <w:sz w:val="18"/>
                <w:szCs w:val="18"/>
                <w:lang w:eastAsia="en-AU"/>
              </w:rPr>
              <w:t>Cover</w:t>
            </w:r>
          </w:p>
        </w:tc>
        <w:tc>
          <w:tcPr>
            <w:tcW w:w="1207" w:type="dxa"/>
            <w:tcBorders>
              <w:top w:val="nil"/>
              <w:left w:val="nil"/>
              <w:bottom w:val="single" w:sz="4" w:space="0" w:color="auto"/>
              <w:right w:val="single" w:sz="4" w:space="0" w:color="auto"/>
            </w:tcBorders>
            <w:shd w:val="clear" w:color="000000" w:fill="FFFFCC"/>
            <w:noWrap/>
            <w:vAlign w:val="bottom"/>
            <w:hideMark/>
          </w:tcPr>
          <w:p w14:paraId="72704288"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w:t>
            </w:r>
          </w:p>
        </w:tc>
        <w:tc>
          <w:tcPr>
            <w:tcW w:w="1276" w:type="dxa"/>
            <w:tcBorders>
              <w:top w:val="nil"/>
              <w:left w:val="nil"/>
              <w:bottom w:val="single" w:sz="4" w:space="0" w:color="auto"/>
              <w:right w:val="single" w:sz="4" w:space="0" w:color="auto"/>
            </w:tcBorders>
            <w:shd w:val="clear" w:color="000000" w:fill="FFFFCC"/>
            <w:noWrap/>
            <w:vAlign w:val="bottom"/>
            <w:hideMark/>
          </w:tcPr>
          <w:p w14:paraId="57B559F6"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2.00</w:t>
            </w:r>
          </w:p>
        </w:tc>
        <w:tc>
          <w:tcPr>
            <w:tcW w:w="1087" w:type="dxa"/>
            <w:tcBorders>
              <w:top w:val="nil"/>
              <w:left w:val="nil"/>
              <w:bottom w:val="single" w:sz="4" w:space="0" w:color="auto"/>
              <w:right w:val="single" w:sz="4" w:space="0" w:color="auto"/>
            </w:tcBorders>
            <w:shd w:val="clear" w:color="000000" w:fill="FFFFCC"/>
            <w:noWrap/>
            <w:vAlign w:val="bottom"/>
            <w:hideMark/>
          </w:tcPr>
          <w:p w14:paraId="63490443" w14:textId="77777777" w:rsidR="003647FD" w:rsidRPr="00584B43" w:rsidRDefault="003647FD" w:rsidP="00073F3D">
            <w:pPr>
              <w:jc w:val="center"/>
              <w:rPr>
                <w:rFonts w:cs="Arial"/>
                <w:color w:val="000000"/>
                <w:sz w:val="18"/>
                <w:szCs w:val="18"/>
                <w:lang w:eastAsia="en-AU"/>
              </w:rPr>
            </w:pPr>
            <w:r>
              <w:rPr>
                <w:rFonts w:cs="Arial"/>
                <w:color w:val="000000"/>
                <w:sz w:val="18"/>
                <w:szCs w:val="18"/>
                <w:lang w:eastAsia="en-AU"/>
              </w:rPr>
              <w:t>5</w:t>
            </w:r>
            <w:r w:rsidRPr="00584B43">
              <w:rPr>
                <w:rFonts w:cs="Arial"/>
                <w:color w:val="000000"/>
                <w:sz w:val="18"/>
                <w:szCs w:val="18"/>
                <w:lang w:eastAsia="en-AU"/>
              </w:rPr>
              <w:t>.00</w:t>
            </w:r>
          </w:p>
        </w:tc>
        <w:tc>
          <w:tcPr>
            <w:tcW w:w="1087" w:type="dxa"/>
            <w:tcBorders>
              <w:top w:val="nil"/>
              <w:left w:val="nil"/>
              <w:bottom w:val="single" w:sz="4" w:space="0" w:color="auto"/>
              <w:right w:val="single" w:sz="4" w:space="0" w:color="auto"/>
            </w:tcBorders>
            <w:shd w:val="clear" w:color="000000" w:fill="FFFFCC"/>
            <w:noWrap/>
            <w:vAlign w:val="bottom"/>
            <w:hideMark/>
          </w:tcPr>
          <w:p w14:paraId="03356CA3"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33956B14"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nil"/>
              <w:left w:val="nil"/>
              <w:bottom w:val="single" w:sz="4" w:space="0" w:color="auto"/>
              <w:right w:val="single" w:sz="4" w:space="0" w:color="auto"/>
            </w:tcBorders>
            <w:shd w:val="clear" w:color="000000" w:fill="FFFFCC"/>
            <w:noWrap/>
            <w:vAlign w:val="bottom"/>
            <w:hideMark/>
          </w:tcPr>
          <w:p w14:paraId="0639AB26"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r w:rsidR="003647FD" w:rsidRPr="00584B43" w14:paraId="4B57FACF"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3713F249"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Op</w:t>
            </w:r>
            <w:r>
              <w:rPr>
                <w:rFonts w:cs="Arial"/>
                <w:color w:val="000000"/>
                <w:sz w:val="18"/>
                <w:szCs w:val="18"/>
                <w:lang w:eastAsia="en-AU"/>
              </w:rPr>
              <w:t>erating</w:t>
            </w:r>
            <w:r w:rsidRPr="00584B43">
              <w:rPr>
                <w:rFonts w:cs="Arial"/>
                <w:color w:val="000000"/>
                <w:sz w:val="18"/>
                <w:szCs w:val="18"/>
                <w:lang w:eastAsia="en-AU"/>
              </w:rPr>
              <w:t xml:space="preserve"> Surplus </w:t>
            </w:r>
          </w:p>
        </w:tc>
        <w:tc>
          <w:tcPr>
            <w:tcW w:w="1207" w:type="dxa"/>
            <w:tcBorders>
              <w:top w:val="nil"/>
              <w:left w:val="nil"/>
              <w:bottom w:val="single" w:sz="4" w:space="0" w:color="auto"/>
              <w:right w:val="single" w:sz="4" w:space="0" w:color="auto"/>
            </w:tcBorders>
            <w:shd w:val="clear" w:color="000000" w:fill="FFFFCC"/>
            <w:noWrap/>
            <w:vAlign w:val="bottom"/>
            <w:hideMark/>
          </w:tcPr>
          <w:p w14:paraId="1342B58F"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013BFD07" w14:textId="77777777" w:rsidR="003647FD" w:rsidRPr="00584B43" w:rsidRDefault="003647FD" w:rsidP="00073F3D">
            <w:pPr>
              <w:jc w:val="center"/>
              <w:rPr>
                <w:rFonts w:cs="Arial"/>
                <w:color w:val="000000"/>
                <w:sz w:val="18"/>
                <w:szCs w:val="18"/>
                <w:lang w:eastAsia="en-AU"/>
              </w:rPr>
            </w:pPr>
            <w:r>
              <w:rPr>
                <w:rFonts w:cs="Arial"/>
                <w:color w:val="000000"/>
                <w:sz w:val="18"/>
                <w:szCs w:val="18"/>
                <w:lang w:eastAsia="en-AU"/>
              </w:rPr>
              <w:t>0.01</w:t>
            </w:r>
          </w:p>
        </w:tc>
        <w:tc>
          <w:tcPr>
            <w:tcW w:w="1087" w:type="dxa"/>
            <w:tcBorders>
              <w:top w:val="nil"/>
              <w:left w:val="nil"/>
              <w:bottom w:val="single" w:sz="4" w:space="0" w:color="auto"/>
              <w:right w:val="single" w:sz="4" w:space="0" w:color="auto"/>
            </w:tcBorders>
            <w:shd w:val="clear" w:color="000000" w:fill="FFFFCC"/>
            <w:noWrap/>
            <w:vAlign w:val="bottom"/>
            <w:hideMark/>
          </w:tcPr>
          <w:p w14:paraId="7566B35B"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0.15</w:t>
            </w:r>
          </w:p>
        </w:tc>
        <w:tc>
          <w:tcPr>
            <w:tcW w:w="1087" w:type="dxa"/>
            <w:tcBorders>
              <w:top w:val="nil"/>
              <w:left w:val="nil"/>
              <w:bottom w:val="single" w:sz="4" w:space="0" w:color="auto"/>
              <w:right w:val="single" w:sz="4" w:space="0" w:color="auto"/>
            </w:tcBorders>
            <w:shd w:val="clear" w:color="000000" w:fill="FFFFCC"/>
            <w:noWrap/>
            <w:vAlign w:val="bottom"/>
            <w:hideMark/>
          </w:tcPr>
          <w:p w14:paraId="7FFBA4A4"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73E8133F"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nil"/>
              <w:left w:val="nil"/>
              <w:bottom w:val="single" w:sz="4" w:space="0" w:color="auto"/>
              <w:right w:val="single" w:sz="4" w:space="0" w:color="auto"/>
            </w:tcBorders>
            <w:shd w:val="clear" w:color="000000" w:fill="FFFFCC"/>
            <w:noWrap/>
            <w:vAlign w:val="bottom"/>
            <w:hideMark/>
          </w:tcPr>
          <w:p w14:paraId="293758D7"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r w:rsidR="003647FD" w:rsidRPr="00584B43" w14:paraId="22A1E29C" w14:textId="77777777" w:rsidTr="00073F3D">
        <w:trPr>
          <w:trHeight w:val="246"/>
        </w:trPr>
        <w:tc>
          <w:tcPr>
            <w:tcW w:w="2178" w:type="dxa"/>
            <w:tcBorders>
              <w:top w:val="nil"/>
              <w:left w:val="single" w:sz="4" w:space="0" w:color="auto"/>
              <w:bottom w:val="single" w:sz="4" w:space="0" w:color="auto"/>
              <w:right w:val="single" w:sz="4" w:space="0" w:color="auto"/>
            </w:tcBorders>
            <w:shd w:val="clear" w:color="000000" w:fill="FFFFCC"/>
            <w:noWrap/>
            <w:vAlign w:val="bottom"/>
            <w:hideMark/>
          </w:tcPr>
          <w:p w14:paraId="093DB4B7" w14:textId="77777777" w:rsidR="003647FD" w:rsidRPr="00584B43" w:rsidRDefault="003647FD" w:rsidP="00073F3D">
            <w:pPr>
              <w:rPr>
                <w:rFonts w:cs="Arial"/>
                <w:color w:val="000000"/>
                <w:sz w:val="18"/>
                <w:szCs w:val="18"/>
                <w:lang w:eastAsia="en-AU"/>
              </w:rPr>
            </w:pPr>
            <w:r w:rsidRPr="00584B43">
              <w:rPr>
                <w:rFonts w:cs="Arial"/>
                <w:color w:val="000000"/>
                <w:sz w:val="18"/>
                <w:szCs w:val="18"/>
                <w:lang w:eastAsia="en-AU"/>
              </w:rPr>
              <w:t xml:space="preserve"> Own </w:t>
            </w:r>
            <w:r>
              <w:rPr>
                <w:rFonts w:cs="Arial"/>
                <w:color w:val="000000"/>
                <w:sz w:val="18"/>
                <w:szCs w:val="18"/>
                <w:lang w:eastAsia="en-AU"/>
              </w:rPr>
              <w:t xml:space="preserve">Source </w:t>
            </w:r>
            <w:r w:rsidRPr="00584B43">
              <w:rPr>
                <w:rFonts w:cs="Arial"/>
                <w:color w:val="000000"/>
                <w:sz w:val="18"/>
                <w:szCs w:val="18"/>
                <w:lang w:eastAsia="en-AU"/>
              </w:rPr>
              <w:t>Revenue</w:t>
            </w:r>
          </w:p>
        </w:tc>
        <w:tc>
          <w:tcPr>
            <w:tcW w:w="1207" w:type="dxa"/>
            <w:tcBorders>
              <w:top w:val="nil"/>
              <w:left w:val="nil"/>
              <w:bottom w:val="single" w:sz="4" w:space="0" w:color="auto"/>
              <w:right w:val="single" w:sz="4" w:space="0" w:color="auto"/>
            </w:tcBorders>
            <w:shd w:val="clear" w:color="000000" w:fill="FFFFCC"/>
            <w:noWrap/>
            <w:vAlign w:val="bottom"/>
            <w:hideMark/>
          </w:tcPr>
          <w:p w14:paraId="1F4A77F8" w14:textId="77777777" w:rsidR="003647FD" w:rsidRPr="00584B43" w:rsidRDefault="003647FD" w:rsidP="00073F3D">
            <w:pPr>
              <w:jc w:val="center"/>
              <w:rPr>
                <w:rFonts w:cs="Arial"/>
                <w:color w:val="000000"/>
                <w:sz w:val="18"/>
                <w:szCs w:val="18"/>
                <w:lang w:eastAsia="en-AU"/>
              </w:rPr>
            </w:pPr>
            <w:r>
              <w:rPr>
                <w:rFonts w:cs="Arial"/>
                <w:color w:val="000000"/>
                <w:sz w:val="18"/>
                <w:szCs w:val="18"/>
                <w:lang w:eastAsia="en-AU"/>
              </w:rPr>
              <w:t>0.3</w:t>
            </w:r>
            <w:r w:rsidRPr="00584B43">
              <w:rPr>
                <w:rFonts w:cs="Arial"/>
                <w:color w:val="000000"/>
                <w:sz w:val="18"/>
                <w:szCs w:val="18"/>
                <w:lang w:eastAsia="en-AU"/>
              </w:rPr>
              <w:t>0</w:t>
            </w:r>
          </w:p>
        </w:tc>
        <w:tc>
          <w:tcPr>
            <w:tcW w:w="1276" w:type="dxa"/>
            <w:tcBorders>
              <w:top w:val="nil"/>
              <w:left w:val="nil"/>
              <w:bottom w:val="single" w:sz="4" w:space="0" w:color="auto"/>
              <w:right w:val="single" w:sz="4" w:space="0" w:color="auto"/>
            </w:tcBorders>
            <w:shd w:val="clear" w:color="000000" w:fill="FFFFCC"/>
            <w:noWrap/>
            <w:vAlign w:val="bottom"/>
            <w:hideMark/>
          </w:tcPr>
          <w:p w14:paraId="06E9345F"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w:t>
            </w:r>
            <w:r>
              <w:rPr>
                <w:rFonts w:cs="Arial"/>
                <w:color w:val="000000"/>
                <w:sz w:val="18"/>
                <w:szCs w:val="18"/>
                <w:lang w:eastAsia="en-AU"/>
              </w:rPr>
              <w:t>40</w:t>
            </w:r>
          </w:p>
        </w:tc>
        <w:tc>
          <w:tcPr>
            <w:tcW w:w="1087" w:type="dxa"/>
            <w:tcBorders>
              <w:top w:val="nil"/>
              <w:left w:val="nil"/>
              <w:bottom w:val="single" w:sz="4" w:space="0" w:color="auto"/>
              <w:right w:val="single" w:sz="4" w:space="0" w:color="auto"/>
            </w:tcBorders>
            <w:shd w:val="clear" w:color="000000" w:fill="FFFFCC"/>
            <w:noWrap/>
            <w:vAlign w:val="bottom"/>
            <w:hideMark/>
          </w:tcPr>
          <w:p w14:paraId="3B8ADABB"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w:t>
            </w:r>
            <w:r>
              <w:rPr>
                <w:rFonts w:cs="Arial"/>
                <w:color w:val="000000"/>
                <w:sz w:val="18"/>
                <w:szCs w:val="18"/>
                <w:lang w:eastAsia="en-AU"/>
              </w:rPr>
              <w:t>.90</w:t>
            </w:r>
          </w:p>
        </w:tc>
        <w:tc>
          <w:tcPr>
            <w:tcW w:w="1087" w:type="dxa"/>
            <w:tcBorders>
              <w:top w:val="nil"/>
              <w:left w:val="nil"/>
              <w:bottom w:val="single" w:sz="4" w:space="0" w:color="auto"/>
              <w:right w:val="single" w:sz="4" w:space="0" w:color="auto"/>
            </w:tcBorders>
            <w:shd w:val="clear" w:color="000000" w:fill="FFFFCC"/>
            <w:noWrap/>
            <w:vAlign w:val="bottom"/>
            <w:hideMark/>
          </w:tcPr>
          <w:p w14:paraId="58F616F1"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0.00</w:t>
            </w:r>
          </w:p>
        </w:tc>
        <w:tc>
          <w:tcPr>
            <w:tcW w:w="1276" w:type="dxa"/>
            <w:tcBorders>
              <w:top w:val="nil"/>
              <w:left w:val="nil"/>
              <w:bottom w:val="single" w:sz="4" w:space="0" w:color="auto"/>
              <w:right w:val="single" w:sz="4" w:space="0" w:color="auto"/>
            </w:tcBorders>
            <w:shd w:val="clear" w:color="000000" w:fill="FFFFCC"/>
            <w:noWrap/>
            <w:vAlign w:val="bottom"/>
            <w:hideMark/>
          </w:tcPr>
          <w:p w14:paraId="73DB01AD"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7.00</w:t>
            </w:r>
          </w:p>
        </w:tc>
        <w:tc>
          <w:tcPr>
            <w:tcW w:w="1128" w:type="dxa"/>
            <w:tcBorders>
              <w:top w:val="nil"/>
              <w:left w:val="nil"/>
              <w:bottom w:val="single" w:sz="4" w:space="0" w:color="auto"/>
              <w:right w:val="single" w:sz="4" w:space="0" w:color="auto"/>
            </w:tcBorders>
            <w:shd w:val="clear" w:color="000000" w:fill="FFFFCC"/>
            <w:noWrap/>
            <w:vAlign w:val="bottom"/>
            <w:hideMark/>
          </w:tcPr>
          <w:p w14:paraId="33DC39CB" w14:textId="77777777" w:rsidR="003647FD" w:rsidRPr="00584B43" w:rsidRDefault="003647FD" w:rsidP="00073F3D">
            <w:pPr>
              <w:jc w:val="center"/>
              <w:rPr>
                <w:rFonts w:cs="Arial"/>
                <w:color w:val="000000"/>
                <w:sz w:val="18"/>
                <w:szCs w:val="18"/>
                <w:lang w:eastAsia="en-AU"/>
              </w:rPr>
            </w:pPr>
            <w:r w:rsidRPr="00584B43">
              <w:rPr>
                <w:rFonts w:cs="Arial"/>
                <w:color w:val="000000"/>
                <w:sz w:val="18"/>
                <w:szCs w:val="18"/>
                <w:lang w:eastAsia="en-AU"/>
              </w:rPr>
              <w:t>10.00</w:t>
            </w:r>
          </w:p>
        </w:tc>
      </w:tr>
    </w:tbl>
    <w:p w14:paraId="377F478D" w14:textId="77777777" w:rsidR="003647FD" w:rsidRPr="001D75A0" w:rsidRDefault="003647FD" w:rsidP="003647FD">
      <w:pPr>
        <w:pStyle w:val="Heading2"/>
      </w:pPr>
      <w:bookmarkStart w:id="5" w:name="_Toc442946967"/>
      <w:r w:rsidRPr="001D75A0">
        <w:t>Ratio Importance Weights</w:t>
      </w:r>
      <w:bookmarkEnd w:id="5"/>
    </w:p>
    <w:p w14:paraId="28E8ADA3" w14:textId="77777777" w:rsidR="003647FD" w:rsidRPr="00176388" w:rsidRDefault="003647FD" w:rsidP="003647FD"/>
    <w:p w14:paraId="015A0FA6" w14:textId="77777777" w:rsidR="003647FD" w:rsidRDefault="003647FD" w:rsidP="003647FD">
      <w:pPr>
        <w:spacing w:line="300" w:lineRule="auto"/>
        <w:rPr>
          <w:rFonts w:cs="Arial"/>
        </w:rPr>
      </w:pPr>
      <w:r w:rsidRPr="00F60612">
        <w:rPr>
          <w:rFonts w:cs="Arial"/>
        </w:rPr>
        <w:t xml:space="preserve">Each ratio score is weighted by combining opinions of various local government experts, so that some </w:t>
      </w:r>
    </w:p>
    <w:p w14:paraId="77170714" w14:textId="77777777" w:rsidR="003647FD" w:rsidRPr="00E027EC" w:rsidRDefault="003647FD" w:rsidP="003647FD">
      <w:pPr>
        <w:spacing w:line="300" w:lineRule="auto"/>
        <w:rPr>
          <w:rFonts w:cs="Arial"/>
          <w:szCs w:val="20"/>
        </w:rPr>
      </w:pPr>
      <w:r>
        <w:rPr>
          <w:rFonts w:cs="Arial"/>
        </w:rPr>
        <w:t>ratios</w:t>
      </w:r>
      <w:r w:rsidRPr="00F60612">
        <w:rPr>
          <w:rFonts w:cs="Arial"/>
        </w:rPr>
        <w:t xml:space="preserve"> carry more importance (more weight) than others. </w:t>
      </w:r>
      <w:r>
        <w:rPr>
          <w:rFonts w:cs="Arial"/>
        </w:rPr>
        <w:t xml:space="preserve">In aggregating the scores of all seven ratios, we can express the Annual Financial Health Check mathematically as follows. First, we denote a financial ratio of type </w:t>
      </w:r>
      <m:oMath>
        <m:r>
          <w:rPr>
            <w:rFonts w:ascii="Cambria Math" w:hAnsi="Cambria Math" w:cs="Arial"/>
          </w:rPr>
          <m:t>i</m:t>
        </m:r>
      </m:oMath>
      <w:r>
        <w:rPr>
          <w:rFonts w:cs="Arial"/>
        </w:rPr>
        <w:t xml:space="preserve"> (where </w:t>
      </w:r>
      <m:oMath>
        <m:r>
          <w:rPr>
            <w:rFonts w:ascii="Cambria Math" w:hAnsi="Cambria Math" w:cs="Arial"/>
            <w:szCs w:val="20"/>
          </w:rPr>
          <m:t>i=1, 2,…, 7</m:t>
        </m:r>
      </m:oMath>
      <w:r>
        <w:rPr>
          <w:rFonts w:cs="Arial"/>
          <w:szCs w:val="20"/>
        </w:rPr>
        <w:t xml:space="preserve"> indicates one of the seven ratios</w:t>
      </w:r>
      <w:r>
        <w:rPr>
          <w:rFonts w:cs="Arial"/>
        </w:rPr>
        <w:t xml:space="preserve">) in year </w:t>
      </w:r>
      <m:oMath>
        <m:r>
          <w:rPr>
            <w:rFonts w:ascii="Cambria Math" w:hAnsi="Cambria Math" w:cs="Arial"/>
          </w:rPr>
          <m:t>t</m:t>
        </m:r>
      </m:oMath>
      <w:r>
        <w:rPr>
          <w:rFonts w:cs="Arial"/>
        </w:rPr>
        <w:t xml:space="preserve"> as </w:t>
      </w:r>
      <m:oMath>
        <m:sSub>
          <m:sSubPr>
            <m:ctrlPr>
              <w:rPr>
                <w:rFonts w:ascii="Cambria Math" w:hAnsi="Cambria Math" w:cs="Arial"/>
                <w:i/>
              </w:rPr>
            </m:ctrlPr>
          </m:sSubPr>
          <m:e>
            <m:r>
              <w:rPr>
                <w:rFonts w:ascii="Cambria Math" w:hAnsi="Cambria Math" w:cs="Arial"/>
              </w:rPr>
              <m:t>r</m:t>
            </m:r>
          </m:e>
          <m:sub>
            <m:r>
              <w:rPr>
                <w:rFonts w:ascii="Cambria Math" w:hAnsi="Cambria Math" w:cs="Arial"/>
              </w:rPr>
              <m:t>i,t</m:t>
            </m:r>
          </m:sub>
        </m:sSub>
      </m:oMath>
      <w:r>
        <w:rPr>
          <w:rFonts w:cs="Arial"/>
        </w:rPr>
        <w:t xml:space="preserve">, so that the score for this ratio can be written as </w:t>
      </w:r>
      <m:oMath>
        <m:sSub>
          <m:sSubPr>
            <m:ctrlPr>
              <w:rPr>
                <w:rFonts w:ascii="Cambria Math" w:hAnsi="Cambria Math" w:cs="Arial"/>
                <w:i/>
              </w:rPr>
            </m:ctrlPr>
          </m:sSubPr>
          <m:e>
            <m:sSub>
              <m:sSubPr>
                <m:ctrlPr>
                  <w:rPr>
                    <w:rFonts w:ascii="Cambria Math" w:hAnsi="Cambria Math" w:cs="Arial"/>
                  </w:rPr>
                </m:ctrlPr>
              </m:sSubPr>
              <m:e>
                <m:r>
                  <m:rPr>
                    <m:sty m:val="p"/>
                  </m:rPr>
                  <w:rPr>
                    <w:rFonts w:ascii="Cambria Math" w:hAnsi="Cambria Math" w:cs="Arial"/>
                  </w:rPr>
                  <m:t>Score</m:t>
                </m:r>
              </m:e>
              <m:sub>
                <m:r>
                  <w:rPr>
                    <w:rFonts w:ascii="Cambria Math" w:hAnsi="Cambria Math" w:cs="Arial"/>
                  </w:rPr>
                  <m:t>i</m:t>
                </m:r>
              </m:sub>
            </m:sSub>
            <m:r>
              <w:rPr>
                <w:rFonts w:ascii="Cambria Math" w:hAnsi="Cambria Math" w:cs="Arial"/>
              </w:rPr>
              <m:t>(r</m:t>
            </m:r>
          </m:e>
          <m:sub>
            <m:r>
              <w:rPr>
                <w:rFonts w:ascii="Cambria Math" w:hAnsi="Cambria Math" w:cs="Arial"/>
              </w:rPr>
              <m:t>i,t</m:t>
            </m:r>
          </m:sub>
        </m:sSub>
        <m:r>
          <w:rPr>
            <w:rFonts w:ascii="Cambria Math" w:hAnsi="Cambria Math" w:cs="Arial"/>
          </w:rPr>
          <m:t>)</m:t>
        </m:r>
      </m:oMath>
      <w:r>
        <w:rPr>
          <w:rFonts w:cs="Arial"/>
        </w:rPr>
        <w:t xml:space="preserve">. The </w:t>
      </w:r>
      <w:r>
        <w:rPr>
          <w:rFonts w:cs="Arial"/>
          <w:szCs w:val="20"/>
        </w:rPr>
        <w:t xml:space="preserve">Annual Financial Health Check (FHI) for year </w:t>
      </w:r>
      <m:oMath>
        <m:r>
          <w:rPr>
            <w:rFonts w:ascii="Cambria Math" w:hAnsi="Cambria Math" w:cs="Arial"/>
          </w:rPr>
          <m:t>t</m:t>
        </m:r>
      </m:oMath>
      <w:r>
        <w:rPr>
          <w:rFonts w:cs="Arial"/>
          <w:szCs w:val="20"/>
        </w:rPr>
        <w:t xml:space="preserve"> is given by</w:t>
      </w:r>
    </w:p>
    <w:p w14:paraId="497777D0" w14:textId="77777777" w:rsidR="003647FD" w:rsidRPr="006672DD" w:rsidRDefault="009D2910" w:rsidP="003647FD">
      <w:pPr>
        <w:spacing w:after="240" w:line="300" w:lineRule="auto"/>
        <w:jc w:val="center"/>
        <w:rPr>
          <w:rFonts w:cs="Arial"/>
        </w:rPr>
      </w:pPr>
      <m:oMathPara>
        <m:oMath>
          <m:sSub>
            <m:sSubPr>
              <m:ctrlPr>
                <w:rPr>
                  <w:rFonts w:ascii="Cambria Math" w:hAnsi="Cambria Math" w:cs="Arial"/>
                </w:rPr>
              </m:ctrlPr>
            </m:sSubPr>
            <m:e>
              <m:r>
                <m:rPr>
                  <m:sty m:val="p"/>
                </m:rPr>
                <w:rPr>
                  <w:rFonts w:ascii="Cambria Math" w:hAnsi="Cambria Math" w:cs="Arial"/>
                </w:rPr>
                <m:t>FHI</m:t>
              </m:r>
            </m:e>
            <m:sub>
              <m:r>
                <w:rPr>
                  <w:rFonts w:ascii="Cambria Math" w:hAnsi="Cambria Math" w:cs="Arial"/>
                </w:rPr>
                <m:t>t</m:t>
              </m:r>
            </m:sub>
          </m:sSub>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m:rPr>
                  <m:sty m:val="p"/>
                </m:rPr>
                <w:rPr>
                  <w:rFonts w:ascii="Cambria Math" w:hAnsi="Cambria Math" w:cs="Arial"/>
                </w:rPr>
                <m:t>7</m:t>
              </m:r>
            </m:sup>
            <m:e>
              <m:sSub>
                <m:sSubPr>
                  <m:ctrlPr>
                    <w:rPr>
                      <w:rFonts w:ascii="Cambria Math" w:hAnsi="Cambria Math" w:cs="Arial"/>
                      <w:i/>
                    </w:rPr>
                  </m:ctrlPr>
                </m:sSubPr>
                <m:e>
                  <m:sSub>
                    <m:sSubPr>
                      <m:ctrlPr>
                        <w:rPr>
                          <w:rFonts w:ascii="Cambria Math" w:hAnsi="Cambria Math" w:cs="Arial"/>
                        </w:rPr>
                      </m:ctrlPr>
                    </m:sSubPr>
                    <m:e>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r>
                        <w:rPr>
                          <w:rFonts w:ascii="Cambria Math" w:hAnsi="Cambria Math" w:cs="Arial"/>
                        </w:rPr>
                        <m:t xml:space="preserve"> ×</m:t>
                      </m:r>
                      <m:r>
                        <m:rPr>
                          <m:sty m:val="p"/>
                        </m:rPr>
                        <w:rPr>
                          <w:rFonts w:ascii="Cambria Math" w:hAnsi="Cambria Math" w:cs="Arial"/>
                        </w:rPr>
                        <m:t>Score</m:t>
                      </m:r>
                    </m:e>
                    <m:sub>
                      <m:r>
                        <w:rPr>
                          <w:rFonts w:ascii="Cambria Math" w:hAnsi="Cambria Math" w:cs="Arial"/>
                        </w:rPr>
                        <m:t>i</m:t>
                      </m:r>
                    </m:sub>
                  </m:sSub>
                  <m:r>
                    <w:rPr>
                      <w:rFonts w:ascii="Cambria Math" w:hAnsi="Cambria Math" w:cs="Arial"/>
                    </w:rPr>
                    <m:t>(r</m:t>
                  </m:r>
                </m:e>
                <m:sub>
                  <m:r>
                    <w:rPr>
                      <w:rFonts w:ascii="Cambria Math" w:hAnsi="Cambria Math" w:cs="Arial"/>
                    </w:rPr>
                    <m:t>i,t</m:t>
                  </m:r>
                </m:sub>
              </m:sSub>
              <m:r>
                <w:rPr>
                  <w:rFonts w:ascii="Cambria Math" w:hAnsi="Cambria Math" w:cs="Arial"/>
                </w:rPr>
                <m:t>)</m:t>
              </m:r>
            </m:e>
          </m:nary>
          <m:r>
            <w:rPr>
              <w:rFonts w:ascii="Cambria Math" w:hAnsi="Cambria Math" w:cs="Arial"/>
            </w:rPr>
            <m:t>.</m:t>
          </m:r>
        </m:oMath>
      </m:oMathPara>
    </w:p>
    <w:p w14:paraId="073C3B03" w14:textId="77777777" w:rsidR="003647FD" w:rsidRDefault="003647FD" w:rsidP="003647FD">
      <w:pPr>
        <w:spacing w:after="240" w:line="300" w:lineRule="auto"/>
        <w:jc w:val="both"/>
        <w:rPr>
          <w:rFonts w:cs="Arial"/>
        </w:rPr>
      </w:pPr>
      <w:r>
        <w:rPr>
          <w:rFonts w:cs="Arial"/>
        </w:rPr>
        <w:t xml:space="preserve">The weights </w:t>
      </w:r>
      <m:oMath>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oMath>
      <w:r>
        <w:rPr>
          <w:rFonts w:cs="Arial"/>
        </w:rPr>
        <w:t xml:space="preserve"> have been determined by using the </w:t>
      </w:r>
      <w:r w:rsidRPr="00A129A5">
        <w:rPr>
          <w:rFonts w:cs="Arial"/>
          <w:i/>
        </w:rPr>
        <w:t>Analytic Hierarchy Process</w:t>
      </w:r>
      <w:r>
        <w:rPr>
          <w:rFonts w:cs="Arial"/>
        </w:rPr>
        <w:t xml:space="preserve"> (AHP), whereby a number of local government experts have completed qualitative questionnaires on the relative importance of each ratio. The survey responses make it possible to determine numerical weights that reflect the importance of each ratio. </w:t>
      </w:r>
    </w:p>
    <w:p w14:paraId="2CB08A67" w14:textId="77777777" w:rsidR="003647FD" w:rsidRDefault="003647FD" w:rsidP="003647FD">
      <w:pPr>
        <w:spacing w:after="240" w:line="300" w:lineRule="auto"/>
        <w:jc w:val="both"/>
        <w:rPr>
          <w:rFonts w:cs="Arial"/>
        </w:rPr>
      </w:pPr>
      <w:r>
        <w:rPr>
          <w:rFonts w:cs="Arial"/>
        </w:rPr>
        <w:lastRenderedPageBreak/>
        <w:t>The survey has been first conducted at a higher level under four broad categories:</w:t>
      </w:r>
    </w:p>
    <w:p w14:paraId="0BBA609F" w14:textId="77777777" w:rsidR="003647FD" w:rsidRPr="00AE7552" w:rsidRDefault="003647FD" w:rsidP="003647FD">
      <w:pPr>
        <w:pStyle w:val="ListParagraph"/>
        <w:numPr>
          <w:ilvl w:val="0"/>
          <w:numId w:val="28"/>
        </w:numPr>
        <w:spacing w:after="240" w:line="300" w:lineRule="auto"/>
        <w:jc w:val="both"/>
        <w:rPr>
          <w:rFonts w:ascii="Arial" w:hAnsi="Arial" w:cs="Arial"/>
          <w:sz w:val="20"/>
          <w:szCs w:val="20"/>
        </w:rPr>
      </w:pPr>
      <w:r w:rsidRPr="00AE7552">
        <w:rPr>
          <w:rFonts w:ascii="Arial" w:hAnsi="Arial" w:cs="Arial"/>
          <w:sz w:val="20"/>
          <w:szCs w:val="20"/>
        </w:rPr>
        <w:t xml:space="preserve">Liquidity ratio </w:t>
      </w:r>
      <m:oMath>
        <m:r>
          <w:rPr>
            <w:rFonts w:ascii="Cambria Math" w:hAnsi="Cambria Math" w:cs="Arial"/>
            <w:sz w:val="20"/>
            <w:szCs w:val="20"/>
          </w:rPr>
          <m:t>(i=1)</m:t>
        </m:r>
      </m:oMath>
      <w:r>
        <w:rPr>
          <w:rFonts w:ascii="Arial" w:hAnsi="Arial" w:cs="Arial"/>
          <w:sz w:val="20"/>
          <w:szCs w:val="20"/>
        </w:rPr>
        <w:t>;</w:t>
      </w:r>
    </w:p>
    <w:p w14:paraId="08196704" w14:textId="77777777" w:rsidR="003647FD" w:rsidRPr="00AE7552" w:rsidRDefault="003647FD" w:rsidP="003647FD">
      <w:pPr>
        <w:pStyle w:val="ListParagraph"/>
        <w:numPr>
          <w:ilvl w:val="0"/>
          <w:numId w:val="28"/>
        </w:numPr>
        <w:spacing w:after="240" w:line="300" w:lineRule="auto"/>
        <w:jc w:val="both"/>
        <w:rPr>
          <w:rFonts w:ascii="Arial" w:hAnsi="Arial" w:cs="Arial"/>
          <w:sz w:val="20"/>
          <w:szCs w:val="20"/>
        </w:rPr>
      </w:pPr>
      <w:r>
        <w:rPr>
          <w:rFonts w:ascii="Arial" w:hAnsi="Arial" w:cs="Arial"/>
          <w:sz w:val="20"/>
          <w:szCs w:val="20"/>
        </w:rPr>
        <w:t xml:space="preserve">Asset management ratios </w:t>
      </w:r>
      <m:oMath>
        <m:r>
          <w:rPr>
            <w:rFonts w:ascii="Cambria Math" w:hAnsi="Cambria Math" w:cs="Arial"/>
            <w:sz w:val="20"/>
            <w:szCs w:val="20"/>
          </w:rPr>
          <m:t>(i=2,3,4)</m:t>
        </m:r>
      </m:oMath>
      <w:r>
        <w:rPr>
          <w:rFonts w:ascii="Arial" w:hAnsi="Arial" w:cs="Arial"/>
          <w:sz w:val="20"/>
          <w:szCs w:val="20"/>
        </w:rPr>
        <w:t>;</w:t>
      </w:r>
    </w:p>
    <w:p w14:paraId="5191C138" w14:textId="77777777" w:rsidR="003647FD" w:rsidRPr="00AE7552" w:rsidRDefault="003647FD" w:rsidP="003647FD">
      <w:pPr>
        <w:pStyle w:val="ListParagraph"/>
        <w:numPr>
          <w:ilvl w:val="0"/>
          <w:numId w:val="28"/>
        </w:numPr>
        <w:spacing w:after="240" w:line="300" w:lineRule="auto"/>
        <w:jc w:val="both"/>
        <w:rPr>
          <w:rFonts w:ascii="Arial" w:hAnsi="Arial" w:cs="Arial"/>
          <w:sz w:val="20"/>
          <w:szCs w:val="20"/>
        </w:rPr>
      </w:pPr>
      <w:r w:rsidRPr="00AE7552">
        <w:rPr>
          <w:rFonts w:ascii="Arial" w:hAnsi="Arial" w:cs="Arial"/>
          <w:sz w:val="20"/>
          <w:szCs w:val="20"/>
        </w:rPr>
        <w:t>Debt rati</w:t>
      </w:r>
      <w:r>
        <w:rPr>
          <w:rFonts w:ascii="Arial" w:hAnsi="Arial" w:cs="Arial"/>
          <w:sz w:val="20"/>
          <w:szCs w:val="20"/>
        </w:rPr>
        <w:t xml:space="preserve">o </w:t>
      </w:r>
      <m:oMath>
        <m:r>
          <w:rPr>
            <w:rFonts w:ascii="Cambria Math" w:hAnsi="Cambria Math" w:cs="Arial"/>
            <w:sz w:val="20"/>
            <w:szCs w:val="20"/>
          </w:rPr>
          <m:t>(i=5)</m:t>
        </m:r>
      </m:oMath>
      <w:r>
        <w:rPr>
          <w:rFonts w:ascii="Arial" w:hAnsi="Arial" w:cs="Arial"/>
          <w:sz w:val="20"/>
          <w:szCs w:val="20"/>
        </w:rPr>
        <w:t>; and</w:t>
      </w:r>
    </w:p>
    <w:p w14:paraId="5FAE6718" w14:textId="77777777" w:rsidR="003647FD" w:rsidRPr="005A3FA6" w:rsidRDefault="003647FD" w:rsidP="003647FD">
      <w:pPr>
        <w:pStyle w:val="ListParagraph"/>
        <w:numPr>
          <w:ilvl w:val="0"/>
          <w:numId w:val="28"/>
        </w:numPr>
        <w:spacing w:after="240" w:line="300" w:lineRule="auto"/>
        <w:jc w:val="both"/>
        <w:rPr>
          <w:rFonts w:cs="Arial"/>
        </w:rPr>
      </w:pPr>
      <w:r>
        <w:rPr>
          <w:rFonts w:ascii="Arial" w:hAnsi="Arial" w:cs="Arial"/>
          <w:sz w:val="20"/>
          <w:szCs w:val="20"/>
        </w:rPr>
        <w:t>Financial flexibility</w:t>
      </w:r>
      <w:r w:rsidRPr="00AE7552">
        <w:rPr>
          <w:rFonts w:ascii="Arial" w:hAnsi="Arial" w:cs="Arial"/>
          <w:sz w:val="20"/>
          <w:szCs w:val="20"/>
        </w:rPr>
        <w:t xml:space="preserve"> ratio</w:t>
      </w:r>
      <w:r>
        <w:rPr>
          <w:rFonts w:ascii="Arial" w:hAnsi="Arial" w:cs="Arial"/>
          <w:sz w:val="20"/>
          <w:szCs w:val="20"/>
        </w:rPr>
        <w:t>s</w:t>
      </w:r>
      <w:r w:rsidRPr="00AE7552">
        <w:rPr>
          <w:rFonts w:ascii="Arial" w:hAnsi="Arial" w:cs="Arial"/>
          <w:sz w:val="20"/>
          <w:szCs w:val="20"/>
        </w:rPr>
        <w:t xml:space="preserve"> </w:t>
      </w:r>
      <w:r>
        <w:rPr>
          <w:rFonts w:ascii="Arial" w:hAnsi="Arial" w:cs="Arial"/>
          <w:sz w:val="20"/>
          <w:szCs w:val="20"/>
        </w:rPr>
        <w:t>(</w:t>
      </w:r>
      <m:oMath>
        <m:r>
          <w:rPr>
            <w:rFonts w:ascii="Cambria Math" w:hAnsi="Cambria Math" w:cs="Arial"/>
            <w:sz w:val="20"/>
            <w:szCs w:val="20"/>
          </w:rPr>
          <m:t>i=6,7)</m:t>
        </m:r>
      </m:oMath>
      <w:r>
        <w:rPr>
          <w:rFonts w:ascii="Arial" w:hAnsi="Arial" w:cs="Arial"/>
          <w:sz w:val="20"/>
          <w:szCs w:val="20"/>
        </w:rPr>
        <w:t>,</w:t>
      </w:r>
    </w:p>
    <w:p w14:paraId="40B5F72F" w14:textId="77777777" w:rsidR="003647FD" w:rsidRDefault="003647FD" w:rsidP="003647FD">
      <w:pPr>
        <w:spacing w:after="240" w:line="300" w:lineRule="auto"/>
        <w:jc w:val="both"/>
        <w:rPr>
          <w:rFonts w:cs="Arial"/>
        </w:rPr>
      </w:pPr>
      <w:r>
        <w:rPr>
          <w:rFonts w:cs="Arial"/>
        </w:rPr>
        <w:t>and then, secondly, within categories for the asset and revenue ratios. The higher-level groupings bring together ratios that are strongly related. So, in effect, we have weightings for the broader categories above, and sub-weightings within the asset and financial flexibility ratio groupings. The category weights are given in Table 2, as well as the individual ratio weights.</w:t>
      </w:r>
    </w:p>
    <w:p w14:paraId="1FD89C65" w14:textId="77777777" w:rsidR="003647FD" w:rsidRPr="00D93483" w:rsidRDefault="003647FD" w:rsidP="003647FD">
      <w:pPr>
        <w:spacing w:before="240" w:after="240" w:line="300" w:lineRule="auto"/>
        <w:rPr>
          <w:rFonts w:cs="Arial"/>
          <w:i/>
          <w:sz w:val="16"/>
          <w:szCs w:val="16"/>
        </w:rPr>
      </w:pPr>
      <w:r w:rsidRPr="005179B2">
        <w:rPr>
          <w:rFonts w:cs="Arial"/>
          <w:b/>
          <w:sz w:val="16"/>
          <w:szCs w:val="16"/>
        </w:rPr>
        <w:t xml:space="preserve">Table </w:t>
      </w:r>
      <w:r>
        <w:rPr>
          <w:rFonts w:cs="Arial"/>
          <w:b/>
          <w:sz w:val="16"/>
          <w:szCs w:val="16"/>
        </w:rPr>
        <w:t>2:</w:t>
      </w:r>
      <w:r w:rsidRPr="005179B2">
        <w:rPr>
          <w:rFonts w:cs="Arial"/>
          <w:b/>
          <w:sz w:val="16"/>
          <w:szCs w:val="16"/>
        </w:rPr>
        <w:t xml:space="preserve"> </w:t>
      </w:r>
      <w:r>
        <w:rPr>
          <w:rFonts w:cs="Arial"/>
          <w:i/>
          <w:sz w:val="16"/>
          <w:szCs w:val="16"/>
        </w:rPr>
        <w:t>Ratio importance weights.</w:t>
      </w:r>
    </w:p>
    <w:tbl>
      <w:tblPr>
        <w:tblW w:w="5909" w:type="dxa"/>
        <w:tblInd w:w="-5"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ook w:val="04A0" w:firstRow="1" w:lastRow="0" w:firstColumn="1" w:lastColumn="0" w:noHBand="0" w:noVBand="1"/>
      </w:tblPr>
      <w:tblGrid>
        <w:gridCol w:w="975"/>
        <w:gridCol w:w="3014"/>
        <w:gridCol w:w="960"/>
        <w:gridCol w:w="960"/>
      </w:tblGrid>
      <w:tr w:rsidR="003647FD" w:rsidRPr="00135565" w14:paraId="3E9D9009" w14:textId="77777777" w:rsidTr="00073F3D">
        <w:trPr>
          <w:trHeight w:val="300"/>
        </w:trPr>
        <w:tc>
          <w:tcPr>
            <w:tcW w:w="975" w:type="dxa"/>
            <w:shd w:val="clear" w:color="000000" w:fill="003767"/>
            <w:noWrap/>
            <w:vAlign w:val="center"/>
            <w:hideMark/>
          </w:tcPr>
          <w:p w14:paraId="53F48BC2" w14:textId="77777777" w:rsidR="003647FD" w:rsidRPr="00FF7D4C" w:rsidRDefault="003647FD" w:rsidP="00073F3D">
            <w:pPr>
              <w:rPr>
                <w:rFonts w:ascii="Calibri" w:hAnsi="Calibri"/>
                <w:b/>
                <w:bCs/>
                <w:color w:val="FFFFFF"/>
                <w:sz w:val="18"/>
                <w:lang w:eastAsia="en-AU"/>
              </w:rPr>
            </w:pPr>
            <w:r>
              <w:rPr>
                <w:rFonts w:ascii="Calibri" w:hAnsi="Calibri"/>
                <w:b/>
                <w:bCs/>
                <w:color w:val="FFFFFF"/>
                <w:sz w:val="18"/>
                <w:szCs w:val="22"/>
                <w:lang w:eastAsia="en-AU"/>
              </w:rPr>
              <w:t>Category</w:t>
            </w:r>
          </w:p>
        </w:tc>
        <w:tc>
          <w:tcPr>
            <w:tcW w:w="3014" w:type="dxa"/>
            <w:shd w:val="clear" w:color="000000" w:fill="003767"/>
            <w:noWrap/>
            <w:vAlign w:val="center"/>
            <w:hideMark/>
          </w:tcPr>
          <w:p w14:paraId="67A26CBD" w14:textId="77777777" w:rsidR="003647FD" w:rsidRPr="00FF7D4C" w:rsidRDefault="003647FD" w:rsidP="00073F3D">
            <w:pPr>
              <w:jc w:val="center"/>
              <w:rPr>
                <w:rFonts w:ascii="Calibri" w:hAnsi="Calibri"/>
                <w:b/>
                <w:bCs/>
                <w:color w:val="FFFFFF"/>
                <w:sz w:val="18"/>
                <w:lang w:eastAsia="en-AU"/>
              </w:rPr>
            </w:pPr>
            <w:r>
              <w:rPr>
                <w:rFonts w:ascii="Calibri" w:hAnsi="Calibri"/>
                <w:b/>
                <w:bCs/>
                <w:color w:val="FFFFFF"/>
                <w:sz w:val="18"/>
                <w:szCs w:val="22"/>
                <w:lang w:eastAsia="en-AU"/>
              </w:rPr>
              <w:t>Ratio</w:t>
            </w:r>
          </w:p>
        </w:tc>
        <w:tc>
          <w:tcPr>
            <w:tcW w:w="960" w:type="dxa"/>
            <w:shd w:val="clear" w:color="000000" w:fill="003767"/>
            <w:noWrap/>
            <w:vAlign w:val="center"/>
            <w:hideMark/>
          </w:tcPr>
          <w:p w14:paraId="5D3271A4" w14:textId="77777777" w:rsidR="003647FD" w:rsidRPr="00FF7D4C" w:rsidRDefault="003647FD" w:rsidP="00073F3D">
            <w:pPr>
              <w:jc w:val="center"/>
              <w:rPr>
                <w:rFonts w:ascii="Calibri" w:hAnsi="Calibri"/>
                <w:b/>
                <w:bCs/>
                <w:color w:val="FFFFFF"/>
                <w:sz w:val="18"/>
                <w:lang w:eastAsia="en-AU"/>
              </w:rPr>
            </w:pPr>
            <w:r>
              <w:rPr>
                <w:rFonts w:ascii="Calibri" w:hAnsi="Calibri"/>
                <w:b/>
                <w:bCs/>
                <w:color w:val="FFFFFF"/>
                <w:sz w:val="18"/>
                <w:szCs w:val="22"/>
                <w:lang w:eastAsia="en-AU"/>
              </w:rPr>
              <w:t>Category Weight</w:t>
            </w:r>
          </w:p>
        </w:tc>
        <w:tc>
          <w:tcPr>
            <w:tcW w:w="960" w:type="dxa"/>
            <w:shd w:val="clear" w:color="000000" w:fill="003767"/>
            <w:noWrap/>
            <w:vAlign w:val="center"/>
            <w:hideMark/>
          </w:tcPr>
          <w:p w14:paraId="733E7864" w14:textId="77777777" w:rsidR="003647FD" w:rsidRPr="00FF7D4C" w:rsidRDefault="003647FD" w:rsidP="00073F3D">
            <w:pPr>
              <w:jc w:val="center"/>
              <w:rPr>
                <w:rFonts w:ascii="Calibri" w:hAnsi="Calibri"/>
                <w:b/>
                <w:bCs/>
                <w:color w:val="FFFFFF"/>
                <w:sz w:val="18"/>
                <w:lang w:eastAsia="en-AU"/>
              </w:rPr>
            </w:pPr>
            <w:r>
              <w:rPr>
                <w:rFonts w:ascii="Calibri" w:hAnsi="Calibri"/>
                <w:b/>
                <w:bCs/>
                <w:color w:val="FFFFFF"/>
                <w:sz w:val="18"/>
                <w:szCs w:val="22"/>
                <w:lang w:eastAsia="en-AU"/>
              </w:rPr>
              <w:t>Ratio Weight</w:t>
            </w:r>
            <w:r>
              <w:rPr>
                <w:rStyle w:val="FootnoteReference"/>
                <w:rFonts w:ascii="Calibri" w:hAnsi="Calibri"/>
                <w:b/>
                <w:bCs/>
                <w:color w:val="FFFFFF"/>
                <w:sz w:val="18"/>
                <w:szCs w:val="22"/>
                <w:lang w:eastAsia="en-AU"/>
              </w:rPr>
              <w:footnoteReference w:id="1"/>
            </w:r>
          </w:p>
        </w:tc>
      </w:tr>
      <w:tr w:rsidR="003647FD" w:rsidRPr="00135565" w14:paraId="196E5FC4" w14:textId="77777777" w:rsidTr="00073F3D">
        <w:trPr>
          <w:trHeight w:val="300"/>
        </w:trPr>
        <w:tc>
          <w:tcPr>
            <w:tcW w:w="975" w:type="dxa"/>
            <w:shd w:val="clear" w:color="auto" w:fill="auto"/>
            <w:noWrap/>
            <w:vAlign w:val="center"/>
            <w:hideMark/>
          </w:tcPr>
          <w:p w14:paraId="3DAB7EEA" w14:textId="77777777" w:rsidR="003647FD" w:rsidRPr="0092344A" w:rsidRDefault="003647FD" w:rsidP="00073F3D">
            <w:pPr>
              <w:rPr>
                <w:rFonts w:ascii="Calibri" w:hAnsi="Calibri"/>
                <w:bCs/>
                <w:sz w:val="18"/>
                <w:lang w:eastAsia="en-AU"/>
              </w:rPr>
            </w:pPr>
            <w:r>
              <w:rPr>
                <w:rFonts w:ascii="Calibri" w:hAnsi="Calibri"/>
                <w:bCs/>
                <w:sz w:val="18"/>
                <w:szCs w:val="22"/>
                <w:lang w:eastAsia="en-AU"/>
              </w:rPr>
              <w:t>Liqui</w:t>
            </w:r>
            <w:r w:rsidRPr="0092344A">
              <w:rPr>
                <w:rFonts w:ascii="Calibri" w:hAnsi="Calibri"/>
                <w:bCs/>
                <w:sz w:val="18"/>
                <w:szCs w:val="22"/>
                <w:lang w:eastAsia="en-AU"/>
              </w:rPr>
              <w:t>dity</w:t>
            </w:r>
          </w:p>
        </w:tc>
        <w:tc>
          <w:tcPr>
            <w:tcW w:w="3014" w:type="dxa"/>
            <w:shd w:val="clear" w:color="auto" w:fill="auto"/>
            <w:vAlign w:val="center"/>
            <w:hideMark/>
          </w:tcPr>
          <w:p w14:paraId="7730A215" w14:textId="77777777" w:rsidR="003647FD" w:rsidRPr="00FF7D4C" w:rsidRDefault="003647FD" w:rsidP="00073F3D">
            <w:pPr>
              <w:rPr>
                <w:rFonts w:ascii="Calibri" w:hAnsi="Calibri"/>
                <w:color w:val="000000"/>
                <w:sz w:val="18"/>
                <w:lang w:eastAsia="en-AU"/>
              </w:rPr>
            </w:pPr>
            <w:r>
              <w:rPr>
                <w:rFonts w:ascii="Calibri" w:hAnsi="Calibri"/>
                <w:color w:val="000000"/>
                <w:sz w:val="18"/>
                <w:szCs w:val="22"/>
                <w:lang w:eastAsia="en-AU"/>
              </w:rPr>
              <w:t>Current Ratio</w:t>
            </w:r>
          </w:p>
        </w:tc>
        <w:tc>
          <w:tcPr>
            <w:tcW w:w="960" w:type="dxa"/>
            <w:shd w:val="clear" w:color="auto" w:fill="auto"/>
            <w:vAlign w:val="center"/>
            <w:hideMark/>
          </w:tcPr>
          <w:p w14:paraId="1FC6FFFC" w14:textId="77777777" w:rsidR="003647FD" w:rsidRPr="00034B93" w:rsidRDefault="003647FD" w:rsidP="00073F3D">
            <w:pPr>
              <w:jc w:val="center"/>
              <w:rPr>
                <w:rFonts w:ascii="Calibri" w:hAnsi="Calibri"/>
                <w:color w:val="000000"/>
                <w:sz w:val="18"/>
                <w:lang w:eastAsia="en-AU"/>
              </w:rPr>
            </w:pPr>
            <w:r>
              <w:rPr>
                <w:rFonts w:ascii="Calibri" w:hAnsi="Calibri"/>
                <w:color w:val="000000"/>
                <w:sz w:val="18"/>
                <w:szCs w:val="22"/>
                <w:lang w:eastAsia="en-AU"/>
              </w:rPr>
              <w:t>24.3%</w:t>
            </w:r>
          </w:p>
        </w:tc>
        <w:tc>
          <w:tcPr>
            <w:tcW w:w="960" w:type="dxa"/>
            <w:shd w:val="clear" w:color="auto" w:fill="auto"/>
            <w:hideMark/>
          </w:tcPr>
          <w:p w14:paraId="30571FDE"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szCs w:val="22"/>
                <w:lang w:eastAsia="en-AU"/>
              </w:rPr>
              <w:t>24.3%</w:t>
            </w:r>
          </w:p>
        </w:tc>
      </w:tr>
      <w:tr w:rsidR="003647FD" w:rsidRPr="00135565" w14:paraId="76E9FEE0" w14:textId="77777777" w:rsidTr="00073F3D">
        <w:trPr>
          <w:trHeight w:val="300"/>
        </w:trPr>
        <w:tc>
          <w:tcPr>
            <w:tcW w:w="975" w:type="dxa"/>
            <w:vMerge w:val="restart"/>
            <w:shd w:val="clear" w:color="auto" w:fill="F2F2F2" w:themeFill="background1" w:themeFillShade="F2"/>
            <w:noWrap/>
            <w:vAlign w:val="center"/>
            <w:hideMark/>
          </w:tcPr>
          <w:p w14:paraId="3A5CAD0F" w14:textId="77777777" w:rsidR="003647FD" w:rsidRDefault="003647FD" w:rsidP="00073F3D">
            <w:pPr>
              <w:rPr>
                <w:rFonts w:ascii="Calibri" w:hAnsi="Calibri"/>
                <w:bCs/>
                <w:sz w:val="18"/>
                <w:lang w:eastAsia="en-AU"/>
              </w:rPr>
            </w:pPr>
            <w:r>
              <w:rPr>
                <w:rFonts w:ascii="Calibri" w:hAnsi="Calibri"/>
                <w:bCs/>
                <w:sz w:val="18"/>
                <w:szCs w:val="22"/>
                <w:lang w:eastAsia="en-AU"/>
              </w:rPr>
              <w:t>Asset</w:t>
            </w:r>
          </w:p>
        </w:tc>
        <w:tc>
          <w:tcPr>
            <w:tcW w:w="3014" w:type="dxa"/>
            <w:shd w:val="clear" w:color="auto" w:fill="F2F2F2" w:themeFill="background1" w:themeFillShade="F2"/>
            <w:vAlign w:val="center"/>
            <w:hideMark/>
          </w:tcPr>
          <w:p w14:paraId="1067DD89" w14:textId="77777777" w:rsidR="003647FD" w:rsidRDefault="003647FD" w:rsidP="00073F3D">
            <w:pPr>
              <w:rPr>
                <w:rFonts w:ascii="Calibri" w:hAnsi="Calibri"/>
                <w:color w:val="000000"/>
                <w:sz w:val="18"/>
                <w:lang w:eastAsia="en-AU"/>
              </w:rPr>
            </w:pPr>
            <w:r>
              <w:rPr>
                <w:rFonts w:ascii="Calibri" w:hAnsi="Calibri"/>
                <w:color w:val="000000"/>
                <w:sz w:val="18"/>
                <w:szCs w:val="22"/>
                <w:lang w:eastAsia="en-AU"/>
              </w:rPr>
              <w:t>Asset Consumption Ratio</w:t>
            </w:r>
          </w:p>
        </w:tc>
        <w:tc>
          <w:tcPr>
            <w:tcW w:w="960" w:type="dxa"/>
            <w:vMerge w:val="restart"/>
            <w:shd w:val="clear" w:color="auto" w:fill="F2F2F2" w:themeFill="background1" w:themeFillShade="F2"/>
            <w:vAlign w:val="center"/>
            <w:hideMark/>
          </w:tcPr>
          <w:p w14:paraId="7BAA9660" w14:textId="77777777" w:rsidR="003647FD" w:rsidRPr="00034B93" w:rsidRDefault="003647FD" w:rsidP="00073F3D">
            <w:pPr>
              <w:jc w:val="center"/>
              <w:rPr>
                <w:rFonts w:ascii="Calibri" w:hAnsi="Calibri"/>
                <w:color w:val="000000"/>
                <w:sz w:val="18"/>
                <w:lang w:eastAsia="en-AU"/>
              </w:rPr>
            </w:pPr>
            <w:r w:rsidRPr="00034B93">
              <w:rPr>
                <w:rFonts w:ascii="Calibri" w:hAnsi="Calibri"/>
                <w:color w:val="000000"/>
                <w:sz w:val="18"/>
                <w:szCs w:val="22"/>
                <w:lang w:eastAsia="en-AU"/>
              </w:rPr>
              <w:t>2</w:t>
            </w:r>
            <w:r>
              <w:rPr>
                <w:rFonts w:ascii="Calibri" w:hAnsi="Calibri"/>
                <w:color w:val="000000"/>
                <w:sz w:val="18"/>
                <w:szCs w:val="22"/>
                <w:lang w:eastAsia="en-AU"/>
              </w:rPr>
              <w:t>3.1%</w:t>
            </w:r>
          </w:p>
        </w:tc>
        <w:tc>
          <w:tcPr>
            <w:tcW w:w="960" w:type="dxa"/>
            <w:shd w:val="clear" w:color="auto" w:fill="F2F2F2" w:themeFill="background1" w:themeFillShade="F2"/>
          </w:tcPr>
          <w:p w14:paraId="5A57D743"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lang w:eastAsia="en-AU"/>
              </w:rPr>
              <w:t>7.9%</w:t>
            </w:r>
          </w:p>
        </w:tc>
      </w:tr>
      <w:tr w:rsidR="003647FD" w:rsidRPr="00135565" w14:paraId="4FA68F5F" w14:textId="77777777" w:rsidTr="00073F3D">
        <w:trPr>
          <w:trHeight w:val="300"/>
        </w:trPr>
        <w:tc>
          <w:tcPr>
            <w:tcW w:w="975" w:type="dxa"/>
            <w:vMerge/>
            <w:shd w:val="clear" w:color="auto" w:fill="F2F2F2" w:themeFill="background1" w:themeFillShade="F2"/>
            <w:noWrap/>
            <w:vAlign w:val="center"/>
            <w:hideMark/>
          </w:tcPr>
          <w:p w14:paraId="09E3D9E7" w14:textId="77777777" w:rsidR="003647FD" w:rsidRDefault="003647FD" w:rsidP="00073F3D">
            <w:pPr>
              <w:rPr>
                <w:rFonts w:ascii="Calibri" w:hAnsi="Calibri"/>
                <w:bCs/>
                <w:sz w:val="18"/>
                <w:lang w:eastAsia="en-AU"/>
              </w:rPr>
            </w:pPr>
          </w:p>
        </w:tc>
        <w:tc>
          <w:tcPr>
            <w:tcW w:w="3014" w:type="dxa"/>
            <w:shd w:val="clear" w:color="auto" w:fill="F2F2F2" w:themeFill="background1" w:themeFillShade="F2"/>
            <w:vAlign w:val="center"/>
            <w:hideMark/>
          </w:tcPr>
          <w:p w14:paraId="052B3695" w14:textId="77777777" w:rsidR="003647FD" w:rsidRDefault="003647FD" w:rsidP="00073F3D">
            <w:pPr>
              <w:rPr>
                <w:rFonts w:ascii="Calibri" w:hAnsi="Calibri"/>
                <w:color w:val="000000"/>
                <w:sz w:val="18"/>
                <w:lang w:eastAsia="en-AU"/>
              </w:rPr>
            </w:pPr>
            <w:r>
              <w:rPr>
                <w:rFonts w:ascii="Calibri" w:hAnsi="Calibri"/>
                <w:color w:val="000000"/>
                <w:sz w:val="18"/>
                <w:szCs w:val="22"/>
                <w:lang w:eastAsia="en-AU"/>
              </w:rPr>
              <w:t>Asset Renewal Funding Ratio</w:t>
            </w:r>
          </w:p>
        </w:tc>
        <w:tc>
          <w:tcPr>
            <w:tcW w:w="960" w:type="dxa"/>
            <w:vMerge/>
            <w:shd w:val="clear" w:color="auto" w:fill="F2F2F2" w:themeFill="background1" w:themeFillShade="F2"/>
            <w:vAlign w:val="center"/>
            <w:hideMark/>
          </w:tcPr>
          <w:p w14:paraId="65D9A66D" w14:textId="77777777" w:rsidR="003647FD" w:rsidRPr="00034B93" w:rsidRDefault="003647FD" w:rsidP="00073F3D">
            <w:pPr>
              <w:jc w:val="center"/>
              <w:rPr>
                <w:rFonts w:ascii="Calibri" w:hAnsi="Calibri"/>
                <w:color w:val="000000"/>
                <w:sz w:val="18"/>
                <w:lang w:eastAsia="en-AU"/>
              </w:rPr>
            </w:pPr>
          </w:p>
        </w:tc>
        <w:tc>
          <w:tcPr>
            <w:tcW w:w="960" w:type="dxa"/>
            <w:shd w:val="clear" w:color="auto" w:fill="F2F2F2" w:themeFill="background1" w:themeFillShade="F2"/>
          </w:tcPr>
          <w:p w14:paraId="69D29B8E"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lang w:eastAsia="en-AU"/>
              </w:rPr>
              <w:t>6.5%</w:t>
            </w:r>
          </w:p>
        </w:tc>
      </w:tr>
      <w:tr w:rsidR="003647FD" w:rsidRPr="00135565" w14:paraId="39120647" w14:textId="77777777" w:rsidTr="00073F3D">
        <w:trPr>
          <w:trHeight w:val="300"/>
        </w:trPr>
        <w:tc>
          <w:tcPr>
            <w:tcW w:w="975" w:type="dxa"/>
            <w:vMerge/>
            <w:shd w:val="clear" w:color="auto" w:fill="F2F2F2" w:themeFill="background1" w:themeFillShade="F2"/>
            <w:noWrap/>
            <w:vAlign w:val="center"/>
            <w:hideMark/>
          </w:tcPr>
          <w:p w14:paraId="43D701DC" w14:textId="77777777" w:rsidR="003647FD" w:rsidRDefault="003647FD" w:rsidP="00073F3D">
            <w:pPr>
              <w:rPr>
                <w:rFonts w:ascii="Calibri" w:hAnsi="Calibri"/>
                <w:bCs/>
                <w:sz w:val="18"/>
                <w:lang w:eastAsia="en-AU"/>
              </w:rPr>
            </w:pPr>
          </w:p>
        </w:tc>
        <w:tc>
          <w:tcPr>
            <w:tcW w:w="3014" w:type="dxa"/>
            <w:shd w:val="clear" w:color="auto" w:fill="F2F2F2" w:themeFill="background1" w:themeFillShade="F2"/>
            <w:vAlign w:val="center"/>
            <w:hideMark/>
          </w:tcPr>
          <w:p w14:paraId="2A6F204D" w14:textId="77777777" w:rsidR="003647FD" w:rsidRDefault="003647FD" w:rsidP="00073F3D">
            <w:pPr>
              <w:rPr>
                <w:rFonts w:ascii="Calibri" w:hAnsi="Calibri"/>
                <w:color w:val="000000"/>
                <w:sz w:val="18"/>
                <w:lang w:eastAsia="en-AU"/>
              </w:rPr>
            </w:pPr>
            <w:r>
              <w:rPr>
                <w:rFonts w:ascii="Calibri" w:hAnsi="Calibri"/>
                <w:color w:val="000000"/>
                <w:sz w:val="18"/>
                <w:szCs w:val="22"/>
                <w:lang w:eastAsia="en-AU"/>
              </w:rPr>
              <w:t>Asset Sustainability Funding Ratio</w:t>
            </w:r>
          </w:p>
        </w:tc>
        <w:tc>
          <w:tcPr>
            <w:tcW w:w="960" w:type="dxa"/>
            <w:vMerge/>
            <w:shd w:val="clear" w:color="auto" w:fill="F2F2F2" w:themeFill="background1" w:themeFillShade="F2"/>
            <w:vAlign w:val="center"/>
            <w:hideMark/>
          </w:tcPr>
          <w:p w14:paraId="0436F97A" w14:textId="77777777" w:rsidR="003647FD" w:rsidRPr="00034B93" w:rsidRDefault="003647FD" w:rsidP="00073F3D">
            <w:pPr>
              <w:jc w:val="center"/>
              <w:rPr>
                <w:rFonts w:ascii="Calibri" w:hAnsi="Calibri"/>
                <w:color w:val="000000"/>
                <w:sz w:val="18"/>
                <w:lang w:eastAsia="en-AU"/>
              </w:rPr>
            </w:pPr>
          </w:p>
        </w:tc>
        <w:tc>
          <w:tcPr>
            <w:tcW w:w="960" w:type="dxa"/>
            <w:shd w:val="clear" w:color="auto" w:fill="F2F2F2" w:themeFill="background1" w:themeFillShade="F2"/>
          </w:tcPr>
          <w:p w14:paraId="4C0D6615"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lang w:eastAsia="en-AU"/>
              </w:rPr>
              <w:t>8.7%</w:t>
            </w:r>
          </w:p>
        </w:tc>
      </w:tr>
      <w:tr w:rsidR="003647FD" w:rsidRPr="00135565" w14:paraId="6E2D8D12" w14:textId="77777777" w:rsidTr="00073F3D">
        <w:trPr>
          <w:trHeight w:val="300"/>
        </w:trPr>
        <w:tc>
          <w:tcPr>
            <w:tcW w:w="975" w:type="dxa"/>
            <w:shd w:val="clear" w:color="auto" w:fill="auto"/>
            <w:noWrap/>
            <w:vAlign w:val="center"/>
            <w:hideMark/>
          </w:tcPr>
          <w:p w14:paraId="038792AF" w14:textId="77777777" w:rsidR="003647FD" w:rsidRDefault="003647FD" w:rsidP="00073F3D">
            <w:pPr>
              <w:rPr>
                <w:rFonts w:ascii="Calibri" w:hAnsi="Calibri"/>
                <w:bCs/>
                <w:sz w:val="18"/>
                <w:lang w:eastAsia="en-AU"/>
              </w:rPr>
            </w:pPr>
            <w:r>
              <w:rPr>
                <w:rFonts w:ascii="Calibri" w:hAnsi="Calibri"/>
                <w:bCs/>
                <w:sz w:val="18"/>
                <w:szCs w:val="22"/>
                <w:lang w:eastAsia="en-AU"/>
              </w:rPr>
              <w:t>Debt</w:t>
            </w:r>
          </w:p>
        </w:tc>
        <w:tc>
          <w:tcPr>
            <w:tcW w:w="3014" w:type="dxa"/>
            <w:shd w:val="clear" w:color="auto" w:fill="auto"/>
            <w:vAlign w:val="center"/>
            <w:hideMark/>
          </w:tcPr>
          <w:p w14:paraId="03130298" w14:textId="77777777" w:rsidR="003647FD" w:rsidRDefault="003647FD" w:rsidP="00073F3D">
            <w:pPr>
              <w:rPr>
                <w:rFonts w:ascii="Calibri" w:hAnsi="Calibri"/>
                <w:color w:val="000000"/>
                <w:sz w:val="18"/>
                <w:lang w:eastAsia="en-AU"/>
              </w:rPr>
            </w:pPr>
            <w:r>
              <w:rPr>
                <w:rFonts w:ascii="Calibri" w:hAnsi="Calibri"/>
                <w:color w:val="000000"/>
                <w:sz w:val="18"/>
                <w:szCs w:val="22"/>
                <w:lang w:eastAsia="en-AU"/>
              </w:rPr>
              <w:t>Debt Service Cover Ratio</w:t>
            </w:r>
          </w:p>
        </w:tc>
        <w:tc>
          <w:tcPr>
            <w:tcW w:w="960" w:type="dxa"/>
            <w:shd w:val="clear" w:color="auto" w:fill="auto"/>
            <w:vAlign w:val="center"/>
            <w:hideMark/>
          </w:tcPr>
          <w:p w14:paraId="0B572B7B" w14:textId="77777777" w:rsidR="003647FD" w:rsidRPr="00034B93" w:rsidRDefault="003647FD" w:rsidP="00073F3D">
            <w:pPr>
              <w:jc w:val="center"/>
              <w:rPr>
                <w:rFonts w:ascii="Calibri" w:hAnsi="Calibri"/>
                <w:color w:val="000000"/>
                <w:sz w:val="18"/>
                <w:lang w:eastAsia="en-AU"/>
              </w:rPr>
            </w:pPr>
            <w:r>
              <w:rPr>
                <w:rFonts w:ascii="Calibri" w:hAnsi="Calibri"/>
                <w:color w:val="000000"/>
                <w:sz w:val="18"/>
                <w:lang w:eastAsia="en-AU"/>
              </w:rPr>
              <w:t>19.3%</w:t>
            </w:r>
          </w:p>
        </w:tc>
        <w:tc>
          <w:tcPr>
            <w:tcW w:w="960" w:type="dxa"/>
            <w:shd w:val="clear" w:color="auto" w:fill="auto"/>
          </w:tcPr>
          <w:p w14:paraId="2A2BD23F"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lang w:eastAsia="en-AU"/>
              </w:rPr>
              <w:t>19.3%</w:t>
            </w:r>
          </w:p>
        </w:tc>
      </w:tr>
      <w:tr w:rsidR="003647FD" w:rsidRPr="00135565" w14:paraId="4B2E5F9B" w14:textId="77777777" w:rsidTr="00073F3D">
        <w:trPr>
          <w:trHeight w:val="300"/>
        </w:trPr>
        <w:tc>
          <w:tcPr>
            <w:tcW w:w="975" w:type="dxa"/>
            <w:vMerge w:val="restart"/>
            <w:shd w:val="clear" w:color="auto" w:fill="F2F2F2" w:themeFill="background1" w:themeFillShade="F2"/>
            <w:noWrap/>
            <w:vAlign w:val="center"/>
            <w:hideMark/>
          </w:tcPr>
          <w:p w14:paraId="6489E675" w14:textId="77777777" w:rsidR="003647FD" w:rsidRDefault="003647FD" w:rsidP="00073F3D">
            <w:pPr>
              <w:rPr>
                <w:rFonts w:ascii="Calibri" w:hAnsi="Calibri"/>
                <w:bCs/>
                <w:sz w:val="18"/>
                <w:lang w:eastAsia="en-AU"/>
              </w:rPr>
            </w:pPr>
            <w:r>
              <w:rPr>
                <w:rFonts w:ascii="Calibri" w:hAnsi="Calibri"/>
                <w:bCs/>
                <w:sz w:val="18"/>
                <w:szCs w:val="22"/>
                <w:lang w:eastAsia="en-AU"/>
              </w:rPr>
              <w:t>Financial Flexibility</w:t>
            </w:r>
          </w:p>
        </w:tc>
        <w:tc>
          <w:tcPr>
            <w:tcW w:w="3014" w:type="dxa"/>
            <w:shd w:val="clear" w:color="auto" w:fill="F2F2F2" w:themeFill="background1" w:themeFillShade="F2"/>
            <w:vAlign w:val="center"/>
            <w:hideMark/>
          </w:tcPr>
          <w:p w14:paraId="195B02EE" w14:textId="77777777" w:rsidR="003647FD" w:rsidRDefault="003647FD" w:rsidP="00073F3D">
            <w:pPr>
              <w:rPr>
                <w:rFonts w:ascii="Calibri" w:hAnsi="Calibri"/>
                <w:color w:val="000000"/>
                <w:sz w:val="18"/>
                <w:lang w:eastAsia="en-AU"/>
              </w:rPr>
            </w:pPr>
            <w:r>
              <w:rPr>
                <w:rFonts w:ascii="Calibri" w:hAnsi="Calibri"/>
                <w:color w:val="000000"/>
                <w:sz w:val="18"/>
                <w:szCs w:val="22"/>
                <w:lang w:eastAsia="en-AU"/>
              </w:rPr>
              <w:t>Operating Surplus Ratio</w:t>
            </w:r>
          </w:p>
        </w:tc>
        <w:tc>
          <w:tcPr>
            <w:tcW w:w="960" w:type="dxa"/>
            <w:vMerge w:val="restart"/>
            <w:shd w:val="clear" w:color="auto" w:fill="F2F2F2" w:themeFill="background1" w:themeFillShade="F2"/>
            <w:vAlign w:val="center"/>
            <w:hideMark/>
          </w:tcPr>
          <w:p w14:paraId="538C1191" w14:textId="77777777" w:rsidR="003647FD" w:rsidRPr="00034B93" w:rsidRDefault="003647FD" w:rsidP="00073F3D">
            <w:pPr>
              <w:jc w:val="center"/>
              <w:rPr>
                <w:rFonts w:ascii="Calibri" w:hAnsi="Calibri"/>
                <w:color w:val="000000"/>
                <w:sz w:val="18"/>
                <w:lang w:eastAsia="en-AU"/>
              </w:rPr>
            </w:pPr>
            <w:r>
              <w:rPr>
                <w:rFonts w:ascii="Calibri" w:hAnsi="Calibri"/>
                <w:color w:val="000000"/>
                <w:sz w:val="18"/>
                <w:lang w:eastAsia="en-AU"/>
              </w:rPr>
              <w:t>33.2%</w:t>
            </w:r>
          </w:p>
        </w:tc>
        <w:tc>
          <w:tcPr>
            <w:tcW w:w="960" w:type="dxa"/>
            <w:shd w:val="clear" w:color="auto" w:fill="F2F2F2" w:themeFill="background1" w:themeFillShade="F2"/>
          </w:tcPr>
          <w:p w14:paraId="3F8ACEDA"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lang w:eastAsia="en-AU"/>
              </w:rPr>
              <w:t>21.4%</w:t>
            </w:r>
          </w:p>
        </w:tc>
      </w:tr>
      <w:tr w:rsidR="003647FD" w:rsidRPr="00135565" w14:paraId="6B9FA97F" w14:textId="77777777" w:rsidTr="00073F3D">
        <w:trPr>
          <w:trHeight w:val="300"/>
        </w:trPr>
        <w:tc>
          <w:tcPr>
            <w:tcW w:w="975" w:type="dxa"/>
            <w:vMerge/>
            <w:shd w:val="clear" w:color="auto" w:fill="F2F2F2" w:themeFill="background1" w:themeFillShade="F2"/>
            <w:noWrap/>
            <w:vAlign w:val="center"/>
            <w:hideMark/>
          </w:tcPr>
          <w:p w14:paraId="4D16920D" w14:textId="77777777" w:rsidR="003647FD" w:rsidRDefault="003647FD" w:rsidP="00073F3D">
            <w:pPr>
              <w:rPr>
                <w:rFonts w:ascii="Calibri" w:hAnsi="Calibri"/>
                <w:bCs/>
                <w:sz w:val="18"/>
                <w:lang w:eastAsia="en-AU"/>
              </w:rPr>
            </w:pPr>
          </w:p>
        </w:tc>
        <w:tc>
          <w:tcPr>
            <w:tcW w:w="3014" w:type="dxa"/>
            <w:shd w:val="clear" w:color="auto" w:fill="F2F2F2" w:themeFill="background1" w:themeFillShade="F2"/>
            <w:vAlign w:val="center"/>
            <w:hideMark/>
          </w:tcPr>
          <w:p w14:paraId="75EDE745" w14:textId="77777777" w:rsidR="003647FD" w:rsidRDefault="003647FD" w:rsidP="00073F3D">
            <w:pPr>
              <w:rPr>
                <w:rFonts w:ascii="Calibri" w:hAnsi="Calibri"/>
                <w:color w:val="000000"/>
                <w:sz w:val="18"/>
                <w:lang w:eastAsia="en-AU"/>
              </w:rPr>
            </w:pPr>
            <w:r>
              <w:rPr>
                <w:rFonts w:ascii="Calibri" w:hAnsi="Calibri"/>
                <w:color w:val="000000"/>
                <w:sz w:val="18"/>
                <w:szCs w:val="22"/>
                <w:lang w:eastAsia="en-AU"/>
              </w:rPr>
              <w:t>Own Source Revenue Coverage Ratio</w:t>
            </w:r>
          </w:p>
        </w:tc>
        <w:tc>
          <w:tcPr>
            <w:tcW w:w="960" w:type="dxa"/>
            <w:vMerge/>
            <w:shd w:val="clear" w:color="auto" w:fill="F2F2F2" w:themeFill="background1" w:themeFillShade="F2"/>
            <w:vAlign w:val="center"/>
            <w:hideMark/>
          </w:tcPr>
          <w:p w14:paraId="42CE2725" w14:textId="77777777" w:rsidR="003647FD" w:rsidRPr="00034B93" w:rsidRDefault="003647FD" w:rsidP="00073F3D">
            <w:pPr>
              <w:jc w:val="center"/>
              <w:rPr>
                <w:rFonts w:ascii="Calibri" w:hAnsi="Calibri"/>
                <w:color w:val="000000"/>
                <w:sz w:val="18"/>
                <w:lang w:eastAsia="en-AU"/>
              </w:rPr>
            </w:pPr>
          </w:p>
        </w:tc>
        <w:tc>
          <w:tcPr>
            <w:tcW w:w="960" w:type="dxa"/>
            <w:shd w:val="clear" w:color="auto" w:fill="F2F2F2" w:themeFill="background1" w:themeFillShade="F2"/>
          </w:tcPr>
          <w:p w14:paraId="79C091A0" w14:textId="77777777" w:rsidR="003647FD" w:rsidRPr="007F02A3" w:rsidRDefault="003647FD" w:rsidP="00073F3D">
            <w:pPr>
              <w:jc w:val="center"/>
              <w:rPr>
                <w:rFonts w:ascii="Calibri" w:hAnsi="Calibri"/>
                <w:color w:val="000000"/>
                <w:sz w:val="18"/>
                <w:lang w:eastAsia="en-AU"/>
              </w:rPr>
            </w:pPr>
            <w:r>
              <w:rPr>
                <w:rFonts w:ascii="Calibri" w:hAnsi="Calibri"/>
                <w:color w:val="000000"/>
                <w:sz w:val="18"/>
                <w:lang w:eastAsia="en-AU"/>
              </w:rPr>
              <w:t>11.8%</w:t>
            </w:r>
          </w:p>
        </w:tc>
      </w:tr>
    </w:tbl>
    <w:p w14:paraId="67366F6F" w14:textId="77777777" w:rsidR="003647FD" w:rsidRDefault="003647FD" w:rsidP="003647FD">
      <w:pPr>
        <w:spacing w:after="240" w:line="300" w:lineRule="auto"/>
        <w:rPr>
          <w:rFonts w:cs="Arial"/>
        </w:rPr>
      </w:pPr>
    </w:p>
    <w:p w14:paraId="2E5DF0BC" w14:textId="77777777" w:rsidR="003647FD" w:rsidRDefault="003647FD" w:rsidP="003647FD">
      <w:pPr>
        <w:spacing w:after="240" w:line="300" w:lineRule="auto"/>
        <w:rPr>
          <w:rFonts w:cs="Arial"/>
        </w:rPr>
      </w:pPr>
      <w:r>
        <w:rPr>
          <w:rFonts w:cs="Arial"/>
        </w:rPr>
        <w:t xml:space="preserve">Although the Model calculates the geometric mean of the individual ratio importance surveys, it is envisaged that the summary weightings, </w:t>
      </w:r>
      <w:r>
        <w:rPr>
          <w:rFonts w:cs="Arial"/>
        </w:rPr>
        <w:lastRenderedPageBreak/>
        <w:t>as shown in Table 2 above, will be provided by DLGC as an input to the web based platform.</w:t>
      </w:r>
    </w:p>
    <w:p w14:paraId="64E915FD" w14:textId="77777777" w:rsidR="003647FD" w:rsidRDefault="003647FD" w:rsidP="003647FD">
      <w:pPr>
        <w:spacing w:after="240" w:line="300" w:lineRule="auto"/>
        <w:rPr>
          <w:rFonts w:cs="Arial"/>
        </w:rPr>
      </w:pPr>
      <w:r>
        <w:rPr>
          <w:rFonts w:cs="Arial"/>
        </w:rPr>
        <w:t>See below for an example calculation.</w:t>
      </w:r>
    </w:p>
    <w:p w14:paraId="5CFD85DE" w14:textId="77777777" w:rsidR="003647FD" w:rsidRPr="00470E52" w:rsidRDefault="003647FD" w:rsidP="003647FD">
      <w:pPr>
        <w:pStyle w:val="ListParagraph"/>
        <w:numPr>
          <w:ilvl w:val="0"/>
          <w:numId w:val="32"/>
        </w:numPr>
        <w:spacing w:line="300" w:lineRule="auto"/>
        <w:ind w:left="357" w:hanging="357"/>
        <w:rPr>
          <w:rFonts w:ascii="Arial" w:eastAsia="Times New Roman" w:hAnsi="Arial" w:cs="Arial"/>
          <w:sz w:val="20"/>
          <w:szCs w:val="24"/>
          <w:lang w:eastAsia="en-US"/>
        </w:rPr>
      </w:pPr>
      <w:r w:rsidRPr="00470E52">
        <w:rPr>
          <w:rFonts w:ascii="Arial" w:eastAsia="Times New Roman" w:hAnsi="Arial" w:cs="Arial"/>
          <w:sz w:val="20"/>
          <w:szCs w:val="24"/>
          <w:lang w:eastAsia="en-US"/>
        </w:rPr>
        <w:t>For each ratio value in a given year, determine a standardised score between zero and ten.</w:t>
      </w:r>
    </w:p>
    <w:p w14:paraId="05057244" w14:textId="77777777" w:rsidR="003647FD" w:rsidRPr="00470E52" w:rsidRDefault="003647FD" w:rsidP="003647FD">
      <w:pPr>
        <w:pStyle w:val="ListParagraph"/>
        <w:numPr>
          <w:ilvl w:val="0"/>
          <w:numId w:val="32"/>
        </w:numPr>
        <w:spacing w:line="300" w:lineRule="auto"/>
        <w:ind w:left="357" w:hanging="357"/>
        <w:rPr>
          <w:rFonts w:ascii="Arial" w:eastAsia="Times New Roman" w:hAnsi="Arial" w:cs="Arial"/>
          <w:sz w:val="20"/>
          <w:szCs w:val="24"/>
          <w:lang w:eastAsia="en-US"/>
        </w:rPr>
      </w:pPr>
      <w:r w:rsidRPr="00470E52">
        <w:rPr>
          <w:rFonts w:ascii="Arial" w:eastAsia="Times New Roman" w:hAnsi="Arial" w:cs="Arial"/>
          <w:sz w:val="20"/>
          <w:szCs w:val="24"/>
          <w:lang w:eastAsia="en-US"/>
        </w:rPr>
        <w:t>Multiply each ratio score by its weight in Table 2.</w:t>
      </w:r>
    </w:p>
    <w:p w14:paraId="3CFD3B4C" w14:textId="77777777" w:rsidR="003647FD" w:rsidRPr="00470E52" w:rsidRDefault="003647FD" w:rsidP="003647FD">
      <w:pPr>
        <w:pStyle w:val="ListParagraph"/>
        <w:numPr>
          <w:ilvl w:val="0"/>
          <w:numId w:val="32"/>
        </w:numPr>
        <w:spacing w:line="300" w:lineRule="auto"/>
        <w:ind w:left="357" w:hanging="357"/>
        <w:rPr>
          <w:rFonts w:ascii="Arial" w:eastAsia="Times New Roman" w:hAnsi="Arial" w:cs="Arial"/>
          <w:sz w:val="20"/>
          <w:szCs w:val="24"/>
          <w:lang w:eastAsia="en-US"/>
        </w:rPr>
      </w:pPr>
      <w:r w:rsidRPr="00470E52">
        <w:rPr>
          <w:rFonts w:ascii="Arial" w:eastAsia="Times New Roman" w:hAnsi="Arial" w:cs="Arial"/>
          <w:sz w:val="20"/>
          <w:szCs w:val="24"/>
          <w:lang w:eastAsia="en-US"/>
        </w:rPr>
        <w:t xml:space="preserve">Sum the weighted scores to produce </w:t>
      </w:r>
      <w:r>
        <w:rPr>
          <w:rFonts w:ascii="Arial" w:eastAsia="Times New Roman" w:hAnsi="Arial" w:cs="Arial"/>
          <w:sz w:val="20"/>
          <w:szCs w:val="24"/>
          <w:lang w:eastAsia="en-US"/>
        </w:rPr>
        <w:t>the Financial Health Indicator</w:t>
      </w:r>
      <w:r w:rsidRPr="00470E52">
        <w:rPr>
          <w:rFonts w:ascii="Arial" w:eastAsia="Times New Roman" w:hAnsi="Arial" w:cs="Arial"/>
          <w:sz w:val="20"/>
          <w:szCs w:val="24"/>
          <w:lang w:eastAsia="en-US"/>
        </w:rPr>
        <w:t xml:space="preserve"> for that year.</w:t>
      </w:r>
    </w:p>
    <w:p w14:paraId="59D8ACF9" w14:textId="77777777" w:rsidR="003647FD" w:rsidRPr="00470E52" w:rsidRDefault="003647FD" w:rsidP="003647FD">
      <w:pPr>
        <w:pStyle w:val="ListParagraph"/>
        <w:numPr>
          <w:ilvl w:val="0"/>
          <w:numId w:val="32"/>
        </w:numPr>
        <w:spacing w:line="300" w:lineRule="auto"/>
        <w:ind w:left="357" w:hanging="357"/>
        <w:rPr>
          <w:rFonts w:ascii="Arial" w:eastAsia="Times New Roman" w:hAnsi="Arial" w:cs="Arial"/>
          <w:sz w:val="20"/>
          <w:szCs w:val="24"/>
          <w:lang w:eastAsia="en-US"/>
        </w:rPr>
      </w:pPr>
      <w:r w:rsidRPr="00470E52">
        <w:rPr>
          <w:rFonts w:ascii="Arial" w:eastAsia="Times New Roman" w:hAnsi="Arial" w:cs="Arial"/>
          <w:sz w:val="20"/>
          <w:szCs w:val="24"/>
          <w:lang w:eastAsia="en-US"/>
        </w:rPr>
        <w:t>Multiply by a scale factor of 10 to provide a final projected score between 0 and 100.</w:t>
      </w:r>
    </w:p>
    <w:p w14:paraId="6870A88B" w14:textId="77777777" w:rsidR="003647FD" w:rsidRDefault="003647FD" w:rsidP="003647FD">
      <w:pPr>
        <w:rPr>
          <w:sz w:val="18"/>
        </w:rPr>
      </w:pPr>
    </w:p>
    <w:p w14:paraId="44FEBF67" w14:textId="77777777" w:rsidR="003647FD" w:rsidRPr="001E585E" w:rsidRDefault="003647FD" w:rsidP="003647FD">
      <w:pPr>
        <w:rPr>
          <w:sz w:val="16"/>
          <w:szCs w:val="16"/>
        </w:rPr>
      </w:pPr>
      <w:r w:rsidRPr="001E585E">
        <w:rPr>
          <w:b/>
          <w:sz w:val="16"/>
          <w:szCs w:val="16"/>
        </w:rPr>
        <w:t>Table 3:</w:t>
      </w:r>
      <w:r w:rsidRPr="001E585E">
        <w:rPr>
          <w:sz w:val="16"/>
          <w:szCs w:val="16"/>
        </w:rPr>
        <w:t xml:space="preserve"> </w:t>
      </w:r>
      <w:r w:rsidRPr="001E585E">
        <w:rPr>
          <w:i/>
          <w:sz w:val="16"/>
          <w:szCs w:val="16"/>
        </w:rPr>
        <w:t xml:space="preserve">Example </w:t>
      </w:r>
      <w:r>
        <w:rPr>
          <w:i/>
          <w:sz w:val="16"/>
          <w:szCs w:val="16"/>
        </w:rPr>
        <w:t>FHI</w:t>
      </w:r>
      <w:r w:rsidRPr="001E585E">
        <w:rPr>
          <w:i/>
          <w:sz w:val="16"/>
          <w:szCs w:val="16"/>
        </w:rPr>
        <w:t xml:space="preserve"> Calculation</w:t>
      </w:r>
    </w:p>
    <w:p w14:paraId="7C01A343" w14:textId="77777777" w:rsidR="003647FD" w:rsidRDefault="003647FD" w:rsidP="003647FD">
      <w:pPr>
        <w:rPr>
          <w:sz w:val="18"/>
        </w:rPr>
      </w:pPr>
    </w:p>
    <w:p w14:paraId="65E1412A" w14:textId="77777777" w:rsidR="003647FD" w:rsidRDefault="003647FD" w:rsidP="003647FD">
      <w:pPr>
        <w:spacing w:after="240" w:line="300" w:lineRule="auto"/>
        <w:rPr>
          <w:rFonts w:cs="Arial"/>
        </w:rPr>
      </w:pPr>
      <w:r w:rsidRPr="00ED26C9">
        <w:rPr>
          <w:noProof/>
          <w:lang w:eastAsia="en-AU"/>
        </w:rPr>
        <w:drawing>
          <wp:inline distT="0" distB="0" distL="0" distR="0" wp14:anchorId="01354138" wp14:editId="7313ACB9">
            <wp:extent cx="5124450" cy="1588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954" cy="1593310"/>
                    </a:xfrm>
                    <a:prstGeom prst="rect">
                      <a:avLst/>
                    </a:prstGeom>
                    <a:noFill/>
                    <a:ln>
                      <a:noFill/>
                    </a:ln>
                  </pic:spPr>
                </pic:pic>
              </a:graphicData>
            </a:graphic>
          </wp:inline>
        </w:drawing>
      </w:r>
    </w:p>
    <w:p w14:paraId="0D8DE3F8" w14:textId="77777777" w:rsidR="003647FD" w:rsidRDefault="003647FD" w:rsidP="003647FD">
      <w:pPr>
        <w:spacing w:after="240" w:line="300" w:lineRule="auto"/>
        <w:rPr>
          <w:rFonts w:cs="Arial"/>
        </w:rPr>
      </w:pPr>
      <w:r>
        <w:rPr>
          <w:rFonts w:cs="Arial"/>
        </w:rPr>
        <w:t xml:space="preserve">The application of ratio importance weights in the Model is conducted through a user defined FHI function (column V of the ‘Calculations’ tab). The Visual Basic for Applications (“VBA”) code for the FHI function ( is detailed in Appendix 1. </w:t>
      </w:r>
    </w:p>
    <w:p w14:paraId="176F504D" w14:textId="77777777" w:rsidR="003647FD" w:rsidRPr="001D75A0" w:rsidRDefault="003647FD" w:rsidP="003647FD">
      <w:pPr>
        <w:pStyle w:val="Heading2"/>
      </w:pPr>
      <w:r w:rsidRPr="001D75A0">
        <w:lastRenderedPageBreak/>
        <w:t xml:space="preserve"> </w:t>
      </w:r>
      <w:bookmarkStart w:id="6" w:name="_Toc442946968"/>
      <w:r w:rsidRPr="001D75A0">
        <w:t>Missing Ratios</w:t>
      </w:r>
      <w:bookmarkEnd w:id="6"/>
    </w:p>
    <w:p w14:paraId="24685E16" w14:textId="77777777" w:rsidR="003647FD" w:rsidRDefault="003647FD" w:rsidP="003647FD">
      <w:pPr>
        <w:spacing w:before="240" w:after="240" w:line="300" w:lineRule="auto"/>
        <w:jc w:val="both"/>
        <w:rPr>
          <w:rFonts w:cs="Arial"/>
        </w:rPr>
      </w:pPr>
      <w:r>
        <w:rPr>
          <w:rFonts w:cs="Arial"/>
        </w:rPr>
        <w:t>There are instances in which not all seven financial ratios are reported. Since a score cannot be calculated for missing ratios, it is necessary to work around this issue.</w:t>
      </w:r>
    </w:p>
    <w:p w14:paraId="52EE29BD" w14:textId="77777777" w:rsidR="003647FD" w:rsidRDefault="003647FD" w:rsidP="003647FD">
      <w:pPr>
        <w:spacing w:after="240" w:line="300" w:lineRule="auto"/>
        <w:jc w:val="both"/>
        <w:rPr>
          <w:rFonts w:cs="Arial"/>
        </w:rPr>
      </w:pPr>
      <w:r>
        <w:rPr>
          <w:rFonts w:cs="Arial"/>
        </w:rPr>
        <w:t>If one of the asset or revenue (financial flexibility) ratios is missing, then the other asset or revenue ratio weights, respectively, are rescaled so that they sum to the required overall category weighting. This can be achieved by simply multiplying each the remaining weights in the asset or financial flexibility categories by the required category weight, and dividing by the sum of the remaining weights. For example, if the asset renewal funding ratio is missing (</w:t>
      </w:r>
      <m:oMath>
        <m:r>
          <w:rPr>
            <w:rFonts w:ascii="Cambria Math" w:hAnsi="Cambria Math" w:cs="Arial"/>
          </w:rPr>
          <m:t>i=3</m:t>
        </m:r>
      </m:oMath>
      <w:r>
        <w:rPr>
          <w:rFonts w:cs="Arial"/>
        </w:rPr>
        <w:t>), then we adjust the asset ratio weights to be</w:t>
      </w:r>
    </w:p>
    <w:p w14:paraId="15C416E6" w14:textId="77777777" w:rsidR="003647FD" w:rsidRDefault="009D2910" w:rsidP="003647FD">
      <w:pPr>
        <w:spacing w:after="240" w:line="300" w:lineRule="auto"/>
        <w:jc w:val="both"/>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den>
              </m:f>
            </m:e>
          </m:d>
          <m:r>
            <m:rPr>
              <m:sty m:val="p"/>
            </m:rP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3</m:t>
              </m:r>
            </m:sub>
          </m:sSub>
          <m:r>
            <w:rPr>
              <w:rFonts w:ascii="Cambria Math" w:hAnsi="Cambria Math" w:cs="Arial"/>
            </w:rPr>
            <m:t xml:space="preserve">=0,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4</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den>
              </m:f>
            </m:e>
          </m:d>
        </m:oMath>
      </m:oMathPara>
    </w:p>
    <w:p w14:paraId="1EAF23DD" w14:textId="77777777" w:rsidR="003647FD" w:rsidRDefault="003647FD" w:rsidP="003647FD">
      <w:pPr>
        <w:spacing w:after="240" w:line="300" w:lineRule="auto"/>
        <w:jc w:val="both"/>
        <w:rPr>
          <w:rFonts w:cs="Arial"/>
        </w:rPr>
      </w:pPr>
      <w:r>
        <w:rPr>
          <w:rFonts w:cs="Arial"/>
        </w:rPr>
        <w:t xml:space="preserve">and leave all other ratio weights unchanged. The FHI is then calculated using the new weights. A check shows that </w:t>
      </w:r>
    </w:p>
    <w:p w14:paraId="3FFF9280" w14:textId="77777777" w:rsidR="003647FD" w:rsidRDefault="009D2910" w:rsidP="003647FD">
      <w:pPr>
        <w:spacing w:after="240" w:line="300" w:lineRule="auto"/>
        <w:jc w:val="both"/>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4</m:t>
              </m:r>
            </m:sub>
          </m:sSub>
          <m:r>
            <w:rPr>
              <w:rFonts w:ascii="Cambria Math" w:hAnsi="Cambria Math" w:cs="Arial"/>
            </w:rPr>
            <m:t xml:space="preserve"> </m:t>
          </m:r>
          <m:r>
            <m:rPr>
              <m:aln/>
            </m:rP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den>
              </m:f>
            </m:e>
          </m:d>
          <m:r>
            <m:rPr>
              <m:sty m:val="p"/>
            </m:rPr>
            <w:rPr>
              <w:rFonts w:ascii="Cambria Math" w:hAnsi="Cambria Math" w:cs="Arial"/>
            </w:rPr>
            <m:t>+</m:t>
          </m:r>
          <m:r>
            <w:rPr>
              <w:rFonts w:ascii="Cambria Math" w:hAnsi="Cambria Math" w:cs="Arial"/>
            </w:rPr>
            <m:t>0+</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den>
              </m:f>
            </m:e>
          </m:d>
          <m:r>
            <m:rPr>
              <m:sty m:val="p"/>
            </m:rPr>
            <w:rPr>
              <w:rFonts w:cs="Arial"/>
            </w:rPr>
            <w:br/>
          </m:r>
        </m:oMath>
        <m:oMath>
          <m:r>
            <m:rPr>
              <m:sty m:val="p"/>
              <m:aln/>
            </m:rP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e>
          </m:d>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den>
              </m:f>
            </m:e>
          </m:d>
          <m:r>
            <m:rPr>
              <m:sty m:val="p"/>
            </m:rPr>
            <w:rPr>
              <w:rFonts w:cs="Arial"/>
            </w:rPr>
            <w:br/>
          </m:r>
        </m:oMath>
        <m:oMath>
          <m:r>
            <m:rPr>
              <m:sty m:val="p"/>
              <m:aln/>
            </m:rP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oMath>
      </m:oMathPara>
    </w:p>
    <w:p w14:paraId="4AA421B3" w14:textId="77777777" w:rsidR="003647FD" w:rsidRDefault="003647FD" w:rsidP="003647FD">
      <w:pPr>
        <w:spacing w:after="240" w:line="300" w:lineRule="auto"/>
        <w:jc w:val="both"/>
        <w:rPr>
          <w:rFonts w:cs="Arial"/>
        </w:rPr>
      </w:pPr>
      <w:r>
        <w:rPr>
          <w:rFonts w:cs="Arial"/>
        </w:rPr>
        <w:t>as required.</w:t>
      </w:r>
    </w:p>
    <w:p w14:paraId="15ADAAC5" w14:textId="77777777" w:rsidR="003647FD" w:rsidRDefault="003647FD" w:rsidP="003647FD">
      <w:pPr>
        <w:spacing w:after="240" w:line="300" w:lineRule="auto"/>
        <w:jc w:val="both"/>
        <w:rPr>
          <w:rFonts w:cs="Arial"/>
        </w:rPr>
      </w:pPr>
      <w:r>
        <w:rPr>
          <w:rFonts w:cs="Arial"/>
        </w:rPr>
        <w:lastRenderedPageBreak/>
        <w:t>If all the ratios for a particular category are missing, e.g., the current ratio or all three asset ratios are missing, then the weighting for this category needs to be distributed to the other remaining categories/ratios. Again, this is simply achieved by dividing through by the sum of the weights of the remaining observed ratios. For example, if the current ratio is not observed (</w:t>
      </w:r>
      <m:oMath>
        <m:r>
          <w:rPr>
            <w:rFonts w:ascii="Cambria Math" w:hAnsi="Cambria Math" w:cs="Arial"/>
          </w:rPr>
          <m:t>i=1</m:t>
        </m:r>
      </m:oMath>
      <w:r>
        <w:rPr>
          <w:rFonts w:cs="Arial"/>
        </w:rPr>
        <w:t>), then the new weights are:</w:t>
      </w:r>
    </w:p>
    <w:p w14:paraId="427CF9C5" w14:textId="77777777" w:rsidR="003647FD" w:rsidRDefault="009D2910" w:rsidP="003647FD">
      <w:pPr>
        <w:spacing w:after="240" w:line="300" w:lineRule="auto"/>
        <w:jc w:val="both"/>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1</m:t>
              </m:r>
            </m:sub>
          </m:sSub>
          <m:r>
            <w:rPr>
              <w:rFonts w:ascii="Cambria Math" w:hAnsi="Cambria Math" w:cs="Arial"/>
            </w:rPr>
            <m:t xml:space="preserve">=0,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2</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5</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6</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7</m:t>
                      </m:r>
                    </m:sub>
                  </m:sSub>
                </m:den>
              </m:f>
            </m:e>
          </m:d>
          <m:r>
            <m:rPr>
              <m:sty m:val="p"/>
            </m:rP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3</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4</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5</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6</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7</m:t>
                      </m:r>
                    </m:sub>
                  </m:sSub>
                </m:den>
              </m:f>
            </m:e>
          </m:d>
          <m:r>
            <m:rPr>
              <m:sty m:val="p"/>
            </m:rPr>
            <w:rPr>
              <w:rFonts w:ascii="Cambria Math" w:hAnsi="Cambria Math" w:cs="Arial"/>
            </w:rPr>
            <m:t xml:space="preserve">, etc. </m:t>
          </m:r>
        </m:oMath>
      </m:oMathPara>
    </w:p>
    <w:p w14:paraId="4F86C8DE" w14:textId="77777777" w:rsidR="003647FD" w:rsidRDefault="003647FD" w:rsidP="003647FD">
      <w:pPr>
        <w:spacing w:after="240" w:line="300" w:lineRule="auto"/>
        <w:jc w:val="both"/>
        <w:rPr>
          <w:rFonts w:cs="Arial"/>
        </w:rPr>
      </w:pPr>
      <w:r>
        <w:rPr>
          <w:rFonts w:cs="Arial"/>
        </w:rPr>
        <w:t xml:space="preserve">Recognising that there may be many missing ratios, we can express the Annual Financial Health Check in year </w:t>
      </w:r>
      <m:oMath>
        <m:r>
          <w:rPr>
            <w:rFonts w:ascii="Cambria Math" w:hAnsi="Cambria Math" w:cs="Arial"/>
          </w:rPr>
          <m:t>t</m:t>
        </m:r>
      </m:oMath>
      <w:r>
        <w:rPr>
          <w:rFonts w:cs="Arial"/>
        </w:rPr>
        <w:t xml:space="preserve"> in the more general form:</w:t>
      </w:r>
    </w:p>
    <w:p w14:paraId="00D4BF60" w14:textId="77777777" w:rsidR="003647FD" w:rsidRPr="00E35655" w:rsidRDefault="009D2910" w:rsidP="003647FD">
      <w:pPr>
        <w:spacing w:after="240" w:line="300" w:lineRule="auto"/>
        <w:jc w:val="center"/>
      </w:pPr>
      <m:oMathPara>
        <m:oMath>
          <m:sSub>
            <m:sSubPr>
              <m:ctrlPr>
                <w:rPr>
                  <w:rFonts w:ascii="Cambria Math" w:hAnsi="Cambria Math" w:cs="Arial"/>
                </w:rPr>
              </m:ctrlPr>
            </m:sSubPr>
            <m:e>
              <m:r>
                <m:rPr>
                  <m:sty m:val="p"/>
                </m:rPr>
                <w:rPr>
                  <w:rFonts w:ascii="Cambria Math" w:hAnsi="Cambria Math" w:cs="Arial"/>
                </w:rPr>
                <m:t>FHI</m:t>
              </m:r>
            </m:e>
            <m:sub>
              <m:r>
                <w:rPr>
                  <w:rFonts w:ascii="Cambria Math" w:hAnsi="Cambria Math" w:cs="Arial"/>
                </w:rPr>
                <m:t>t</m:t>
              </m:r>
            </m:sub>
          </m:sSub>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m:rPr>
                  <m:sty m:val="p"/>
                </m:rPr>
                <w:rPr>
                  <w:rFonts w:ascii="Cambria Math" w:hAnsi="Cambria Math" w:cs="Arial"/>
                </w:rPr>
                <m:t>7</m:t>
              </m:r>
            </m:sup>
            <m:e>
              <m:sSub>
                <m:sSubPr>
                  <m:ctrlPr>
                    <w:rPr>
                      <w:rFonts w:ascii="Cambria Math" w:hAnsi="Cambria Math" w:cs="Arial"/>
                      <w:i/>
                    </w:rPr>
                  </m:ctrlPr>
                </m:sSubPr>
                <m:e>
                  <m:sSub>
                    <m:sSubPr>
                      <m:ctrlPr>
                        <w:rPr>
                          <w:rFonts w:ascii="Cambria Math" w:hAnsi="Cambria Math" w:cs="Arial"/>
                        </w:rPr>
                      </m:ctrlPr>
                    </m:sSub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w</m:t>
                              </m:r>
                            </m:e>
                          </m:acc>
                        </m:e>
                        <m:sub>
                          <m:r>
                            <w:rPr>
                              <w:rFonts w:ascii="Cambria Math" w:hAnsi="Cambria Math" w:cs="Arial"/>
                            </w:rPr>
                            <m:t>i</m:t>
                          </m:r>
                        </m:sub>
                      </m:sSub>
                      <m:r>
                        <w:rPr>
                          <w:rFonts w:ascii="Cambria Math" w:hAnsi="Cambria Math" w:cs="Arial"/>
                        </w:rPr>
                        <m:t xml:space="preserve"> ×</m:t>
                      </m:r>
                      <m:r>
                        <m:rPr>
                          <m:sty m:val="p"/>
                        </m:rPr>
                        <w:rPr>
                          <w:rFonts w:ascii="Cambria Math" w:hAnsi="Cambria Math" w:cs="Arial"/>
                        </w:rPr>
                        <m:t>Score</m:t>
                      </m:r>
                    </m:e>
                    <m:sub>
                      <m:r>
                        <w:rPr>
                          <w:rFonts w:ascii="Cambria Math" w:hAnsi="Cambria Math" w:cs="Arial"/>
                        </w:rPr>
                        <m:t>i</m:t>
                      </m:r>
                    </m:sub>
                  </m:sSub>
                  <m:r>
                    <w:rPr>
                      <w:rFonts w:ascii="Cambria Math" w:hAnsi="Cambria Math" w:cs="Arial"/>
                    </w:rPr>
                    <m:t>(r</m:t>
                  </m:r>
                </m:e>
                <m:sub>
                  <m:r>
                    <w:rPr>
                      <w:rFonts w:ascii="Cambria Math" w:hAnsi="Cambria Math" w:cs="Arial"/>
                    </w:rPr>
                    <m:t>i,t</m:t>
                  </m:r>
                </m:sub>
              </m:sSub>
              <m:r>
                <w:rPr>
                  <w:rFonts w:ascii="Cambria Math" w:hAnsi="Cambria Math" w:cs="Arial"/>
                </w:rPr>
                <m:t>)</m:t>
              </m:r>
            </m:e>
          </m:nary>
        </m:oMath>
      </m:oMathPara>
    </w:p>
    <w:p w14:paraId="7CBE675D" w14:textId="77777777" w:rsidR="003647FD" w:rsidRDefault="003647FD" w:rsidP="003647FD">
      <w:pPr>
        <w:spacing w:line="300" w:lineRule="auto"/>
        <w:rPr>
          <w:rFonts w:cs="Arial"/>
        </w:rPr>
      </w:pPr>
      <w:r w:rsidRPr="004941F2">
        <w:rPr>
          <w:rFonts w:cs="Arial"/>
        </w:rPr>
        <w:t>The result is then multiplied by a scale factor of 10 to provide a final projected score between 0 and 100.</w:t>
      </w:r>
    </w:p>
    <w:p w14:paraId="2F906268" w14:textId="77777777" w:rsidR="003647FD" w:rsidRPr="001D75A0" w:rsidRDefault="003647FD" w:rsidP="003647FD">
      <w:pPr>
        <w:pStyle w:val="Heading1"/>
      </w:pPr>
      <w:bookmarkStart w:id="7" w:name="_Toc442946969"/>
      <w:r w:rsidRPr="001D75A0">
        <w:t>Outputs</w:t>
      </w:r>
      <w:bookmarkEnd w:id="7"/>
    </w:p>
    <w:p w14:paraId="511C0C51" w14:textId="77777777" w:rsidR="003647FD" w:rsidRPr="001D75A0" w:rsidRDefault="003647FD" w:rsidP="003647FD">
      <w:pPr>
        <w:pStyle w:val="Heading2"/>
      </w:pPr>
      <w:bookmarkStart w:id="8" w:name="_Toc442946970"/>
      <w:r w:rsidRPr="001D75A0">
        <w:t>Comparison Selector</w:t>
      </w:r>
      <w:bookmarkEnd w:id="8"/>
    </w:p>
    <w:p w14:paraId="3C1165C7" w14:textId="77777777" w:rsidR="003647FD" w:rsidRDefault="003647FD" w:rsidP="003647FD">
      <w:pPr>
        <w:rPr>
          <w:lang w:eastAsia="en-AU"/>
        </w:rPr>
      </w:pPr>
    </w:p>
    <w:p w14:paraId="027A61C8" w14:textId="77777777" w:rsidR="003647FD" w:rsidRDefault="003647FD" w:rsidP="003647FD">
      <w:pPr>
        <w:rPr>
          <w:lang w:eastAsia="en-AU"/>
        </w:rPr>
      </w:pPr>
      <w:r>
        <w:rPr>
          <w:lang w:eastAsia="en-AU"/>
        </w:rPr>
        <w:t xml:space="preserve">The user will be able to select a primary LG and financial year, and a secondary LG and financial year which will form the basis of the radar charts and box plots. </w:t>
      </w:r>
    </w:p>
    <w:p w14:paraId="2C05EB02" w14:textId="77777777" w:rsidR="003647FD" w:rsidRDefault="003647FD" w:rsidP="003647FD">
      <w:pPr>
        <w:rPr>
          <w:lang w:eastAsia="en-AU"/>
        </w:rPr>
      </w:pPr>
    </w:p>
    <w:p w14:paraId="7A156BCA" w14:textId="77777777" w:rsidR="003647FD" w:rsidRPr="00273179" w:rsidRDefault="003647FD" w:rsidP="003647FD">
      <w:pPr>
        <w:rPr>
          <w:lang w:eastAsia="en-AU"/>
        </w:rPr>
      </w:pPr>
      <w:r>
        <w:rPr>
          <w:lang w:eastAsia="en-AU"/>
        </w:rPr>
        <w:lastRenderedPageBreak/>
        <w:t xml:space="preserve">The primary LG and secondary LG may be the same if the user wishes to compare the same LG across different financial years. </w:t>
      </w:r>
    </w:p>
    <w:p w14:paraId="22D520D7" w14:textId="77777777" w:rsidR="003647FD" w:rsidRPr="00273179" w:rsidRDefault="003647FD" w:rsidP="003647FD">
      <w:pPr>
        <w:pStyle w:val="Heading2"/>
        <w:rPr>
          <w:lang w:eastAsia="en-AU"/>
        </w:rPr>
      </w:pPr>
      <w:bookmarkStart w:id="9" w:name="_Toc442946971"/>
      <w:r>
        <w:rPr>
          <w:lang w:eastAsia="en-AU"/>
        </w:rPr>
        <w:t>Radar Charts</w:t>
      </w:r>
      <w:bookmarkEnd w:id="9"/>
    </w:p>
    <w:p w14:paraId="6559A6B4" w14:textId="77777777" w:rsidR="003647FD" w:rsidRDefault="003647FD" w:rsidP="003647FD">
      <w:pPr>
        <w:spacing w:before="240" w:after="200" w:line="276" w:lineRule="auto"/>
        <w:jc w:val="both"/>
        <w:rPr>
          <w:rFonts w:cs="Arial"/>
        </w:rPr>
      </w:pPr>
      <w:r>
        <w:rPr>
          <w:rFonts w:cs="Arial"/>
        </w:rPr>
        <w:t>Once all seven financial ratios have been scored for the LGs, the scores for a single financial year can be plotted in a radar chart as illustrated in Figure 3. These plots allow one to visually assess the strength of LG’s across the seven financial health dimensions.</w:t>
      </w:r>
    </w:p>
    <w:p w14:paraId="3B5D35FC" w14:textId="77777777" w:rsidR="003647FD" w:rsidRDefault="003647FD" w:rsidP="003647FD">
      <w:pPr>
        <w:spacing w:before="240" w:after="200" w:line="276" w:lineRule="auto"/>
        <w:jc w:val="both"/>
        <w:rPr>
          <w:noProof/>
          <w:lang w:eastAsia="en-AU"/>
        </w:rPr>
      </w:pPr>
      <w:r>
        <w:rPr>
          <w:rFonts w:cs="Arial"/>
        </w:rPr>
        <w:t>One can also contrast the blue line representing the primary LG’s scores with the red line representing the secondary LG’s</w:t>
      </w:r>
      <w:r>
        <w:rPr>
          <w:rFonts w:cs="Arial"/>
          <w:i/>
        </w:rPr>
        <w:t xml:space="preserve"> </w:t>
      </w:r>
      <w:r>
        <w:rPr>
          <w:rFonts w:cs="Arial"/>
        </w:rPr>
        <w:t>scores to visually assess the differences in financial health.</w:t>
      </w:r>
      <w:r w:rsidRPr="00373E36">
        <w:rPr>
          <w:noProof/>
          <w:lang w:eastAsia="en-AU"/>
        </w:rPr>
        <w:t xml:space="preserve"> </w:t>
      </w:r>
    </w:p>
    <w:p w14:paraId="01ECE249" w14:textId="77777777" w:rsidR="003647FD" w:rsidRPr="006B0B12" w:rsidRDefault="003647FD" w:rsidP="003647FD">
      <w:pPr>
        <w:rPr>
          <w:rFonts w:cs="Arial"/>
        </w:rPr>
      </w:pPr>
      <w:r w:rsidRPr="006B0B12">
        <w:rPr>
          <w:rFonts w:cs="Arial"/>
        </w:rPr>
        <w:t xml:space="preserve">A Radar chart (spider-web diagram) is a quick way to understand the outcomes from the analysis. </w:t>
      </w:r>
    </w:p>
    <w:p w14:paraId="77B1C6E9" w14:textId="77777777" w:rsidR="003647FD" w:rsidRDefault="003647FD" w:rsidP="003647FD">
      <w:pPr>
        <w:jc w:val="center"/>
        <w:rPr>
          <w:rFonts w:cs="Arial"/>
        </w:rPr>
      </w:pPr>
    </w:p>
    <w:p w14:paraId="7A28C1EB" w14:textId="77777777" w:rsidR="003647FD" w:rsidRPr="006B0B12" w:rsidRDefault="003647FD" w:rsidP="003647FD">
      <w:pPr>
        <w:rPr>
          <w:rFonts w:cs="Arial"/>
        </w:rPr>
      </w:pPr>
      <w:r w:rsidRPr="006B0B12">
        <w:rPr>
          <w:rFonts w:cs="Arial"/>
        </w:rPr>
        <w:t xml:space="preserve">Larger areas of coverage indicate stronger </w:t>
      </w:r>
      <w:r>
        <w:rPr>
          <w:rFonts w:cs="Arial"/>
        </w:rPr>
        <w:t>financial health</w:t>
      </w:r>
      <w:r w:rsidRPr="006B0B12">
        <w:rPr>
          <w:rFonts w:cs="Arial"/>
        </w:rPr>
        <w:t xml:space="preserve">. Smaller areas indicate weaker sustainability. </w:t>
      </w:r>
    </w:p>
    <w:p w14:paraId="08A44D16" w14:textId="77777777" w:rsidR="003647FD" w:rsidRPr="006B0B12" w:rsidRDefault="003647FD" w:rsidP="003647FD">
      <w:pPr>
        <w:jc w:val="center"/>
        <w:rPr>
          <w:rFonts w:cs="Arial"/>
        </w:rPr>
      </w:pPr>
    </w:p>
    <w:p w14:paraId="222DEA15" w14:textId="77777777" w:rsidR="003647FD" w:rsidRDefault="003647FD" w:rsidP="003647FD">
      <w:pPr>
        <w:rPr>
          <w:rFonts w:cs="Arial"/>
        </w:rPr>
      </w:pPr>
      <w:r w:rsidRPr="006B0B12">
        <w:rPr>
          <w:rFonts w:cs="Arial"/>
        </w:rPr>
        <w:t>The closer the radar map is to the centre, the weaker the local government is in that set of ratios.</w:t>
      </w:r>
    </w:p>
    <w:p w14:paraId="5679FE18" w14:textId="77777777" w:rsidR="003647FD" w:rsidRDefault="003647FD" w:rsidP="003647FD">
      <w:pPr>
        <w:rPr>
          <w:rFonts w:cs="Arial"/>
        </w:rPr>
      </w:pPr>
    </w:p>
    <w:p w14:paraId="2115D016" w14:textId="77777777" w:rsidR="003647FD" w:rsidRDefault="003647FD" w:rsidP="003647FD">
      <w:pPr>
        <w:spacing w:before="240" w:after="200" w:line="276" w:lineRule="auto"/>
        <w:rPr>
          <w:rFonts w:cs="Arial"/>
          <w:i/>
          <w:sz w:val="16"/>
          <w:szCs w:val="16"/>
        </w:rPr>
      </w:pPr>
      <w:r>
        <w:rPr>
          <w:rFonts w:cs="Arial"/>
          <w:b/>
          <w:sz w:val="16"/>
          <w:szCs w:val="16"/>
        </w:rPr>
        <w:t>Figure</w:t>
      </w:r>
      <w:r w:rsidRPr="005179B2">
        <w:rPr>
          <w:rFonts w:cs="Arial"/>
          <w:b/>
          <w:sz w:val="16"/>
          <w:szCs w:val="16"/>
        </w:rPr>
        <w:t xml:space="preserve"> </w:t>
      </w:r>
      <w:r>
        <w:rPr>
          <w:rFonts w:cs="Arial"/>
          <w:b/>
          <w:sz w:val="16"/>
          <w:szCs w:val="16"/>
        </w:rPr>
        <w:t>3:</w:t>
      </w:r>
      <w:r w:rsidRPr="005179B2">
        <w:rPr>
          <w:rFonts w:cs="Arial"/>
          <w:b/>
          <w:sz w:val="16"/>
          <w:szCs w:val="16"/>
        </w:rPr>
        <w:t xml:space="preserve"> </w:t>
      </w:r>
      <w:r w:rsidRPr="0047432B">
        <w:rPr>
          <w:rFonts w:cs="Arial"/>
          <w:i/>
          <w:sz w:val="16"/>
          <w:szCs w:val="16"/>
        </w:rPr>
        <w:t>Example radar chart of the financial ratio scores</w:t>
      </w:r>
      <w:r>
        <w:rPr>
          <w:rFonts w:cs="Arial"/>
          <w:i/>
          <w:sz w:val="16"/>
          <w:szCs w:val="16"/>
        </w:rPr>
        <w:t>.</w:t>
      </w:r>
    </w:p>
    <w:p w14:paraId="5CDCAF03" w14:textId="77777777" w:rsidR="003647FD" w:rsidRDefault="003647FD" w:rsidP="003647FD">
      <w:pPr>
        <w:spacing w:before="240" w:after="200" w:line="276" w:lineRule="auto"/>
        <w:rPr>
          <w:rFonts w:cs="Arial"/>
          <w:b/>
          <w:sz w:val="16"/>
          <w:szCs w:val="16"/>
        </w:rPr>
      </w:pPr>
      <w:r>
        <w:rPr>
          <w:noProof/>
          <w:lang w:eastAsia="en-AU"/>
        </w:rPr>
        <w:lastRenderedPageBreak/>
        <w:drawing>
          <wp:inline distT="0" distB="0" distL="0" distR="0" wp14:anchorId="54D63BEE" wp14:editId="39C5EF1B">
            <wp:extent cx="3857625" cy="29908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32E9D2" w14:textId="77777777" w:rsidR="003647FD" w:rsidRDefault="003647FD" w:rsidP="003647FD">
      <w:pPr>
        <w:spacing w:before="240" w:after="200" w:line="276" w:lineRule="auto"/>
        <w:rPr>
          <w:rFonts w:cs="Arial"/>
          <w:b/>
          <w:sz w:val="16"/>
          <w:szCs w:val="16"/>
        </w:rPr>
      </w:pPr>
    </w:p>
    <w:p w14:paraId="5140EE10" w14:textId="77777777" w:rsidR="003647FD" w:rsidRDefault="003647FD" w:rsidP="003647FD">
      <w:pPr>
        <w:pStyle w:val="Heading2"/>
        <w:rPr>
          <w:lang w:eastAsia="en-AU"/>
        </w:rPr>
      </w:pPr>
      <w:bookmarkStart w:id="10" w:name="_Toc442946972"/>
      <w:r>
        <w:rPr>
          <w:lang w:eastAsia="en-AU"/>
        </w:rPr>
        <w:t>Box Plots</w:t>
      </w:r>
      <w:bookmarkEnd w:id="10"/>
    </w:p>
    <w:p w14:paraId="42F9AE4F" w14:textId="77777777" w:rsidR="003647FD" w:rsidRPr="00FE1F23" w:rsidRDefault="003647FD" w:rsidP="003647FD">
      <w:pPr>
        <w:rPr>
          <w:lang w:eastAsia="en-AU"/>
        </w:rPr>
      </w:pPr>
    </w:p>
    <w:p w14:paraId="7FA0E603" w14:textId="77777777" w:rsidR="003647FD" w:rsidRDefault="003647FD" w:rsidP="003647FD">
      <w:pPr>
        <w:spacing w:line="300" w:lineRule="auto"/>
        <w:rPr>
          <w:rFonts w:cs="Arial"/>
          <w:i/>
          <w:color w:val="FF0000"/>
        </w:rPr>
      </w:pPr>
      <w:r>
        <w:rPr>
          <w:rFonts w:cs="Arial"/>
        </w:rPr>
        <w:t>To examine the variation in financial health, across LGs in WA within a financial year, it is useful to plot the distribution of Annual Financial Health Checks using a ‘box plot’</w:t>
      </w:r>
      <w:r w:rsidRPr="009D4CA8">
        <w:rPr>
          <w:rFonts w:cs="Arial"/>
          <w:i/>
          <w:color w:val="FF0000"/>
        </w:rPr>
        <w:t xml:space="preserve">. </w:t>
      </w:r>
    </w:p>
    <w:p w14:paraId="5AA4EEB5" w14:textId="77777777" w:rsidR="003647FD" w:rsidRDefault="003647FD" w:rsidP="003647FD">
      <w:pPr>
        <w:spacing w:line="300" w:lineRule="auto"/>
        <w:rPr>
          <w:rFonts w:cs="Arial"/>
          <w:i/>
          <w:color w:val="FF0000"/>
        </w:rPr>
      </w:pPr>
    </w:p>
    <w:p w14:paraId="04668C12" w14:textId="77777777" w:rsidR="003647FD" w:rsidRDefault="003647FD" w:rsidP="003647FD">
      <w:pPr>
        <w:spacing w:line="300" w:lineRule="auto"/>
        <w:rPr>
          <w:rFonts w:cs="Arial"/>
        </w:rPr>
      </w:pPr>
      <w:r w:rsidRPr="00BD6601">
        <w:rPr>
          <w:rFonts w:cs="Arial"/>
        </w:rPr>
        <w:t>A box plot allows one to visually display the set of</w:t>
      </w:r>
      <w:r w:rsidR="00D70111">
        <w:rPr>
          <w:rFonts w:cs="Arial"/>
        </w:rPr>
        <w:t xml:space="preserve"> FHI</w:t>
      </w:r>
      <w:r w:rsidRPr="00BD6601">
        <w:rPr>
          <w:rFonts w:cs="Arial"/>
        </w:rPr>
        <w:t xml:space="preserve"> </w:t>
      </w:r>
      <w:r w:rsidR="00D70111">
        <w:rPr>
          <w:rFonts w:cs="Arial"/>
        </w:rPr>
        <w:t xml:space="preserve">results </w:t>
      </w:r>
      <w:r>
        <w:rPr>
          <w:rFonts w:cs="Arial"/>
        </w:rPr>
        <w:t>for all LG’s in a given financial year</w:t>
      </w:r>
      <w:r w:rsidRPr="00BD6601">
        <w:rPr>
          <w:rFonts w:cs="Arial"/>
        </w:rPr>
        <w:t xml:space="preserve">. The top-most and bottom-most dashes indicate the </w:t>
      </w:r>
      <w:r>
        <w:rPr>
          <w:rFonts w:cs="Arial"/>
        </w:rPr>
        <w:t>maximum</w:t>
      </w:r>
      <w:r w:rsidRPr="00BD6601">
        <w:rPr>
          <w:rFonts w:cs="Arial"/>
        </w:rPr>
        <w:t xml:space="preserve"> and </w:t>
      </w:r>
      <w:r>
        <w:rPr>
          <w:rFonts w:cs="Arial"/>
        </w:rPr>
        <w:t>minimum</w:t>
      </w:r>
      <w:r w:rsidRPr="00BD6601">
        <w:rPr>
          <w:rFonts w:cs="Arial"/>
        </w:rPr>
        <w:t xml:space="preserve"> scores, respectively, in the distribution. The first quartile is the value below which 25% of scores fall below. The second quartile, median, is the value below which 50% of scores fall below. Finally, the third quartile is the value below which 75% of scores fall below.</w:t>
      </w:r>
      <w:r>
        <w:rPr>
          <w:rFonts w:cs="Arial"/>
        </w:rPr>
        <w:t xml:space="preserve"> This is depicted in </w:t>
      </w:r>
      <w:r w:rsidRPr="00B93F56">
        <w:rPr>
          <w:rFonts w:cs="Arial"/>
        </w:rPr>
        <w:t>Figure 4 below</w:t>
      </w:r>
      <w:r>
        <w:rPr>
          <w:rFonts w:cs="Arial"/>
        </w:rPr>
        <w:t>.</w:t>
      </w:r>
    </w:p>
    <w:p w14:paraId="6D183ABF" w14:textId="77777777" w:rsidR="003647FD" w:rsidRDefault="003647FD" w:rsidP="003647FD">
      <w:pPr>
        <w:spacing w:before="240" w:after="200" w:line="276" w:lineRule="auto"/>
        <w:rPr>
          <w:rFonts w:cs="Arial"/>
          <w:i/>
          <w:sz w:val="16"/>
          <w:szCs w:val="16"/>
        </w:rPr>
      </w:pPr>
      <w:r>
        <w:rPr>
          <w:rFonts w:cs="Arial"/>
          <w:b/>
          <w:sz w:val="16"/>
          <w:szCs w:val="16"/>
        </w:rPr>
        <w:t>Figure</w:t>
      </w:r>
      <w:r w:rsidRPr="005179B2">
        <w:rPr>
          <w:rFonts w:cs="Arial"/>
          <w:b/>
          <w:sz w:val="16"/>
          <w:szCs w:val="16"/>
        </w:rPr>
        <w:t xml:space="preserve"> </w:t>
      </w:r>
      <w:r>
        <w:rPr>
          <w:rFonts w:cs="Arial"/>
          <w:b/>
          <w:sz w:val="16"/>
          <w:szCs w:val="16"/>
        </w:rPr>
        <w:t>4</w:t>
      </w:r>
      <w:r w:rsidRPr="005179B2">
        <w:rPr>
          <w:rFonts w:cs="Arial"/>
          <w:b/>
          <w:sz w:val="16"/>
          <w:szCs w:val="16"/>
        </w:rPr>
        <w:t xml:space="preserve"> </w:t>
      </w:r>
      <w:r>
        <w:rPr>
          <w:rFonts w:cs="Arial"/>
          <w:i/>
          <w:sz w:val="16"/>
          <w:szCs w:val="16"/>
        </w:rPr>
        <w:t>Box plot depiction.</w:t>
      </w:r>
    </w:p>
    <w:p w14:paraId="559291AB" w14:textId="77777777" w:rsidR="003647FD" w:rsidRDefault="003647FD" w:rsidP="003647FD">
      <w:pPr>
        <w:spacing w:line="300" w:lineRule="auto"/>
        <w:rPr>
          <w:rFonts w:cs="Arial"/>
        </w:rPr>
      </w:pPr>
    </w:p>
    <w:p w14:paraId="72EB36B1" w14:textId="77777777" w:rsidR="003647FD" w:rsidRDefault="003647FD" w:rsidP="003647FD">
      <w:pPr>
        <w:spacing w:line="300" w:lineRule="auto"/>
        <w:rPr>
          <w:rFonts w:cs="Arial"/>
        </w:rPr>
      </w:pPr>
    </w:p>
    <w:p w14:paraId="449E21E1" w14:textId="77777777" w:rsidR="003647FD" w:rsidRDefault="003647FD" w:rsidP="003647FD">
      <w:pPr>
        <w:spacing w:line="300" w:lineRule="auto"/>
        <w:rPr>
          <w:rFonts w:cs="Arial"/>
        </w:rPr>
      </w:pPr>
      <w:r w:rsidRPr="00BD6601">
        <w:rPr>
          <w:rFonts w:cs="Arial"/>
        </w:rPr>
        <w:t xml:space="preserve"> </w:t>
      </w:r>
      <w:r w:rsidRPr="005F4F24">
        <w:rPr>
          <w:rFonts w:eastAsiaTheme="majorEastAsia"/>
          <w:noProof/>
          <w:lang w:eastAsia="en-AU"/>
        </w:rPr>
        <w:drawing>
          <wp:inline distT="0" distB="0" distL="0" distR="0" wp14:anchorId="7972A9E2" wp14:editId="3EEC4374">
            <wp:extent cx="2051813" cy="1800000"/>
            <wp:effectExtent l="19050" t="0" r="5587"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051813" cy="1800000"/>
                    </a:xfrm>
                    <a:prstGeom prst="rect">
                      <a:avLst/>
                    </a:prstGeom>
                    <a:noFill/>
                    <a:ln w="9525">
                      <a:noFill/>
                      <a:miter lim="800000"/>
                      <a:headEnd/>
                      <a:tailEnd/>
                    </a:ln>
                  </pic:spPr>
                </pic:pic>
              </a:graphicData>
            </a:graphic>
          </wp:inline>
        </w:drawing>
      </w:r>
    </w:p>
    <w:p w14:paraId="01869F11" w14:textId="77777777" w:rsidR="003647FD" w:rsidRDefault="003647FD" w:rsidP="003647FD">
      <w:pPr>
        <w:spacing w:before="240" w:after="240" w:line="300" w:lineRule="auto"/>
        <w:jc w:val="both"/>
        <w:rPr>
          <w:rFonts w:cs="Arial"/>
        </w:rPr>
      </w:pPr>
      <w:r>
        <w:rPr>
          <w:rFonts w:cs="Arial"/>
        </w:rPr>
        <w:t xml:space="preserve">The Annual Financial Health Checks </w:t>
      </w:r>
      <w:r w:rsidRPr="007E2C3B">
        <w:rPr>
          <w:rFonts w:cs="Arial"/>
        </w:rPr>
        <w:t xml:space="preserve">for the </w:t>
      </w:r>
      <w:r>
        <w:rPr>
          <w:rFonts w:cs="Arial"/>
        </w:rPr>
        <w:t>specific primary and secondary LGs</w:t>
      </w:r>
      <w:r>
        <w:rPr>
          <w:lang w:eastAsia="en-AU"/>
        </w:rPr>
        <w:t xml:space="preserve"> </w:t>
      </w:r>
      <w:r>
        <w:rPr>
          <w:rFonts w:cs="Arial"/>
        </w:rPr>
        <w:t>can be</w:t>
      </w:r>
      <w:r w:rsidRPr="007E2C3B">
        <w:rPr>
          <w:rFonts w:cs="Arial"/>
        </w:rPr>
        <w:t xml:space="preserve"> positioned on </w:t>
      </w:r>
      <w:r>
        <w:rPr>
          <w:rFonts w:cs="Arial"/>
        </w:rPr>
        <w:t>the</w:t>
      </w:r>
      <w:r w:rsidRPr="007E2C3B">
        <w:rPr>
          <w:rFonts w:cs="Arial"/>
        </w:rPr>
        <w:t xml:space="preserve"> box plot</w:t>
      </w:r>
      <w:r>
        <w:rPr>
          <w:rFonts w:cs="Arial"/>
        </w:rPr>
        <w:t xml:space="preserve">, allowing one to see where these entities are positioned relative to all other LGs. </w:t>
      </w:r>
    </w:p>
    <w:p w14:paraId="2490F8FD" w14:textId="77777777" w:rsidR="003647FD" w:rsidRDefault="003647FD" w:rsidP="003647FD">
      <w:pPr>
        <w:spacing w:before="240" w:after="240" w:line="300" w:lineRule="auto"/>
        <w:jc w:val="both"/>
        <w:rPr>
          <w:rFonts w:cs="Arial"/>
        </w:rPr>
      </w:pPr>
      <w:r w:rsidRPr="001B6C8C">
        <w:rPr>
          <w:rFonts w:cs="Arial"/>
        </w:rPr>
        <w:t xml:space="preserve">Figure </w:t>
      </w:r>
      <w:r>
        <w:rPr>
          <w:rFonts w:cs="Arial"/>
        </w:rPr>
        <w:t>5</w:t>
      </w:r>
      <w:r w:rsidRPr="001B6C8C">
        <w:rPr>
          <w:rFonts w:cs="Arial"/>
        </w:rPr>
        <w:t xml:space="preserve"> illustrates </w:t>
      </w:r>
      <w:r>
        <w:rPr>
          <w:rFonts w:cs="Arial"/>
        </w:rPr>
        <w:t>an example of the 2014</w:t>
      </w:r>
      <w:r w:rsidRPr="001B6C8C">
        <w:rPr>
          <w:rFonts w:cs="Arial"/>
        </w:rPr>
        <w:t xml:space="preserve"> </w:t>
      </w:r>
      <w:r>
        <w:rPr>
          <w:rFonts w:cs="Arial"/>
        </w:rPr>
        <w:t>FHI</w:t>
      </w:r>
      <w:r w:rsidRPr="001B6C8C">
        <w:rPr>
          <w:rFonts w:cs="Arial"/>
        </w:rPr>
        <w:t xml:space="preserve"> trends using the ratio weights</w:t>
      </w:r>
      <w:r>
        <w:rPr>
          <w:rFonts w:cs="Arial"/>
        </w:rPr>
        <w:t xml:space="preserve">. </w:t>
      </w:r>
      <w:r w:rsidRPr="001B6C8C">
        <w:rPr>
          <w:rFonts w:cs="Arial"/>
        </w:rPr>
        <w:t>The</w:t>
      </w:r>
      <w:r>
        <w:rPr>
          <w:rFonts w:cs="Arial"/>
        </w:rPr>
        <w:t xml:space="preserve"> dotted</w:t>
      </w:r>
      <w:r w:rsidRPr="001B6C8C">
        <w:rPr>
          <w:rFonts w:cs="Arial"/>
        </w:rPr>
        <w:t xml:space="preserve"> trend line</w:t>
      </w:r>
      <w:r>
        <w:rPr>
          <w:rFonts w:cs="Arial"/>
        </w:rPr>
        <w:t xml:space="preserve"> s</w:t>
      </w:r>
      <w:r w:rsidRPr="001B6C8C">
        <w:rPr>
          <w:rFonts w:cs="Arial"/>
        </w:rPr>
        <w:t>how</w:t>
      </w:r>
      <w:r>
        <w:rPr>
          <w:rFonts w:cs="Arial"/>
        </w:rPr>
        <w:t>s</w:t>
      </w:r>
      <w:r w:rsidRPr="001B6C8C">
        <w:rPr>
          <w:rFonts w:cs="Arial"/>
        </w:rPr>
        <w:t xml:space="preserve"> that the </w:t>
      </w:r>
      <w:r>
        <w:rPr>
          <w:rFonts w:cs="Arial"/>
        </w:rPr>
        <w:t>financial health</w:t>
      </w:r>
      <w:r w:rsidRPr="001B6C8C">
        <w:rPr>
          <w:rFonts w:cs="Arial"/>
        </w:rPr>
        <w:t xml:space="preserve"> of </w:t>
      </w:r>
      <w:r>
        <w:rPr>
          <w:rFonts w:cs="Arial"/>
        </w:rPr>
        <w:t>Albany City in 2014</w:t>
      </w:r>
      <w:r w:rsidRPr="001B6C8C">
        <w:rPr>
          <w:rFonts w:cs="Arial"/>
        </w:rPr>
        <w:t xml:space="preserve"> is</w:t>
      </w:r>
      <w:r>
        <w:rPr>
          <w:rFonts w:cs="Arial"/>
        </w:rPr>
        <w:t xml:space="preserve"> weaker than Bayswater City in the same year</w:t>
      </w:r>
      <w:r w:rsidRPr="001B6C8C">
        <w:rPr>
          <w:rFonts w:cs="Arial"/>
        </w:rPr>
        <w:t>.</w:t>
      </w:r>
      <w:r>
        <w:rPr>
          <w:rFonts w:cs="Arial"/>
        </w:rPr>
        <w:t xml:space="preserve"> </w:t>
      </w:r>
    </w:p>
    <w:p w14:paraId="68ACC306" w14:textId="77777777" w:rsidR="003647FD" w:rsidRDefault="003647FD" w:rsidP="003647FD">
      <w:pPr>
        <w:rPr>
          <w:rFonts w:cs="Arial"/>
        </w:rPr>
      </w:pPr>
    </w:p>
    <w:p w14:paraId="46C29C9A" w14:textId="77777777" w:rsidR="003647FD" w:rsidRDefault="003647FD" w:rsidP="003647FD">
      <w:pPr>
        <w:spacing w:after="240" w:line="300" w:lineRule="auto"/>
        <w:rPr>
          <w:rFonts w:cs="Arial"/>
          <w:i/>
          <w:sz w:val="16"/>
          <w:szCs w:val="16"/>
        </w:rPr>
      </w:pPr>
      <w:r>
        <w:rPr>
          <w:rFonts w:cs="Arial"/>
          <w:b/>
          <w:sz w:val="16"/>
          <w:szCs w:val="16"/>
        </w:rPr>
        <w:t>Figure 5:</w:t>
      </w:r>
      <w:r w:rsidRPr="005179B2">
        <w:rPr>
          <w:rFonts w:cs="Arial"/>
          <w:b/>
          <w:sz w:val="16"/>
          <w:szCs w:val="16"/>
        </w:rPr>
        <w:t xml:space="preserve"> </w:t>
      </w:r>
      <w:r>
        <w:rPr>
          <w:rFonts w:cs="Arial"/>
          <w:i/>
          <w:sz w:val="16"/>
          <w:szCs w:val="16"/>
        </w:rPr>
        <w:t>Example Annual Financial Health Checks positioned over boxplots.</w:t>
      </w:r>
    </w:p>
    <w:p w14:paraId="32FE92D1" w14:textId="77777777" w:rsidR="003647FD" w:rsidRDefault="003647FD" w:rsidP="003647FD">
      <w:pPr>
        <w:spacing w:after="240" w:line="300" w:lineRule="auto"/>
        <w:rPr>
          <w:rFonts w:cs="Arial"/>
          <w:i/>
          <w:sz w:val="16"/>
          <w:szCs w:val="16"/>
        </w:rPr>
      </w:pPr>
      <w:r>
        <w:rPr>
          <w:noProof/>
          <w:lang w:eastAsia="en-AU"/>
        </w:rPr>
        <w:drawing>
          <wp:anchor distT="0" distB="0" distL="114300" distR="114300" simplePos="0" relativeHeight="251666432" behindDoc="1" locked="0" layoutInCell="1" allowOverlap="1" wp14:anchorId="08E498D4" wp14:editId="44C7AEC5">
            <wp:simplePos x="0" y="0"/>
            <wp:positionH relativeFrom="margin">
              <wp:align>left</wp:align>
            </wp:positionH>
            <wp:positionV relativeFrom="paragraph">
              <wp:posOffset>11430</wp:posOffset>
            </wp:positionV>
            <wp:extent cx="4629150" cy="3467100"/>
            <wp:effectExtent l="0" t="0" r="19050" b="19050"/>
            <wp:wrapTight wrapText="bothSides">
              <wp:wrapPolygon edited="0">
                <wp:start x="0" y="0"/>
                <wp:lineTo x="0" y="21600"/>
                <wp:lineTo x="21600" y="21600"/>
                <wp:lineTo x="21600"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B5331B7" w14:textId="77777777" w:rsidR="003647FD" w:rsidRDefault="003647FD" w:rsidP="003647FD">
      <w:pPr>
        <w:spacing w:after="240" w:line="300" w:lineRule="auto"/>
        <w:rPr>
          <w:rFonts w:cs="Arial"/>
          <w:i/>
          <w:sz w:val="16"/>
          <w:szCs w:val="16"/>
        </w:rPr>
      </w:pPr>
    </w:p>
    <w:p w14:paraId="71A738DB" w14:textId="77777777" w:rsidR="003647FD" w:rsidRDefault="003647FD" w:rsidP="003647FD">
      <w:pPr>
        <w:spacing w:after="240" w:line="300" w:lineRule="auto"/>
        <w:rPr>
          <w:rFonts w:cs="Arial"/>
          <w:i/>
          <w:sz w:val="16"/>
          <w:szCs w:val="16"/>
        </w:rPr>
      </w:pPr>
    </w:p>
    <w:p w14:paraId="373D21AB" w14:textId="77777777" w:rsidR="003647FD" w:rsidRDefault="003647FD" w:rsidP="003647FD">
      <w:pPr>
        <w:spacing w:after="240" w:line="300" w:lineRule="auto"/>
        <w:rPr>
          <w:rFonts w:cs="Arial"/>
          <w:i/>
          <w:sz w:val="16"/>
          <w:szCs w:val="16"/>
        </w:rPr>
      </w:pPr>
    </w:p>
    <w:p w14:paraId="3F417D8E" w14:textId="77777777" w:rsidR="003647FD" w:rsidRDefault="003647FD" w:rsidP="003647FD">
      <w:pPr>
        <w:spacing w:after="240" w:line="300" w:lineRule="auto"/>
        <w:rPr>
          <w:rFonts w:cs="Arial"/>
          <w:i/>
          <w:sz w:val="16"/>
          <w:szCs w:val="16"/>
        </w:rPr>
      </w:pPr>
    </w:p>
    <w:p w14:paraId="4E7A81A8" w14:textId="77777777" w:rsidR="003647FD" w:rsidRDefault="003647FD" w:rsidP="003647FD">
      <w:pPr>
        <w:spacing w:after="240" w:line="300" w:lineRule="auto"/>
        <w:rPr>
          <w:rFonts w:cs="Arial"/>
          <w:i/>
          <w:sz w:val="16"/>
          <w:szCs w:val="16"/>
        </w:rPr>
      </w:pPr>
    </w:p>
    <w:p w14:paraId="4CCCF866" w14:textId="77777777" w:rsidR="003647FD" w:rsidRDefault="003647FD" w:rsidP="003647FD">
      <w:pPr>
        <w:spacing w:after="240" w:line="300" w:lineRule="auto"/>
        <w:rPr>
          <w:rFonts w:cs="Arial"/>
          <w:i/>
          <w:sz w:val="16"/>
          <w:szCs w:val="16"/>
        </w:rPr>
      </w:pPr>
    </w:p>
    <w:p w14:paraId="6E62503F" w14:textId="77777777" w:rsidR="003647FD" w:rsidRDefault="003647FD" w:rsidP="003647FD">
      <w:pPr>
        <w:spacing w:after="240" w:line="300" w:lineRule="auto"/>
        <w:rPr>
          <w:rFonts w:cs="Arial"/>
          <w:i/>
          <w:sz w:val="16"/>
          <w:szCs w:val="16"/>
        </w:rPr>
      </w:pPr>
      <w:r>
        <w:rPr>
          <w:rFonts w:cs="Arial"/>
          <w:i/>
          <w:sz w:val="16"/>
          <w:szCs w:val="16"/>
        </w:rPr>
        <w:lastRenderedPageBreak/>
        <w:t xml:space="preserve"> </w:t>
      </w:r>
    </w:p>
    <w:p w14:paraId="4CAD7001" w14:textId="77777777" w:rsidR="003647FD" w:rsidRDefault="003647FD" w:rsidP="003647FD">
      <w:pPr>
        <w:spacing w:after="240" w:line="300" w:lineRule="auto"/>
        <w:rPr>
          <w:rFonts w:cs="Arial"/>
        </w:rPr>
      </w:pPr>
    </w:p>
    <w:p w14:paraId="34AEBE97" w14:textId="77777777" w:rsidR="003647FD" w:rsidRDefault="003647FD" w:rsidP="003647FD">
      <w:pPr>
        <w:spacing w:after="240" w:line="300" w:lineRule="auto"/>
        <w:rPr>
          <w:rFonts w:cs="Arial"/>
        </w:rPr>
      </w:pPr>
    </w:p>
    <w:p w14:paraId="2ED273BC" w14:textId="77777777" w:rsidR="003647FD" w:rsidRDefault="003647FD" w:rsidP="003647FD">
      <w:pPr>
        <w:spacing w:after="240" w:line="300" w:lineRule="auto"/>
        <w:rPr>
          <w:rFonts w:cs="Arial"/>
        </w:rPr>
      </w:pPr>
    </w:p>
    <w:p w14:paraId="5AAEB4B5" w14:textId="77777777" w:rsidR="003647FD" w:rsidRDefault="003647FD" w:rsidP="003647FD">
      <w:pPr>
        <w:spacing w:after="240" w:line="300" w:lineRule="auto"/>
        <w:rPr>
          <w:rFonts w:cs="Arial"/>
        </w:rPr>
      </w:pPr>
    </w:p>
    <w:p w14:paraId="7B57738B" w14:textId="77777777" w:rsidR="003647FD" w:rsidRDefault="003647FD" w:rsidP="003647FD">
      <w:pPr>
        <w:spacing w:after="240" w:line="300" w:lineRule="auto"/>
        <w:rPr>
          <w:rFonts w:cs="Arial"/>
        </w:rPr>
      </w:pPr>
      <w:r>
        <w:rPr>
          <w:rFonts w:cs="Arial"/>
        </w:rPr>
        <w:t xml:space="preserve">The data used to construct the boxplots in the Model are in cells C9 to F18 of the ‘Summary Workings” tab.  </w:t>
      </w:r>
    </w:p>
    <w:p w14:paraId="64F89BFF" w14:textId="77777777" w:rsidR="003647FD" w:rsidRDefault="003647FD" w:rsidP="003647FD">
      <w:pPr>
        <w:spacing w:after="240" w:line="300" w:lineRule="auto"/>
        <w:rPr>
          <w:rFonts w:cs="Arial"/>
        </w:rPr>
      </w:pPr>
    </w:p>
    <w:p w14:paraId="30857342" w14:textId="77777777" w:rsidR="003647FD" w:rsidRDefault="003647FD" w:rsidP="003647FD">
      <w:pPr>
        <w:pStyle w:val="Heading1"/>
      </w:pPr>
      <w:bookmarkStart w:id="11" w:name="_Toc442946973"/>
      <w:r>
        <w:t>Appendix 1</w:t>
      </w:r>
      <w:bookmarkEnd w:id="11"/>
      <w:r>
        <w:t xml:space="preserve"> </w:t>
      </w:r>
    </w:p>
    <w:p w14:paraId="0AA37ADB" w14:textId="77777777" w:rsidR="003647FD" w:rsidRDefault="003647FD" w:rsidP="003647FD"/>
    <w:p w14:paraId="3CACC8CC" w14:textId="77777777" w:rsidR="003647FD" w:rsidRDefault="003647FD" w:rsidP="003647FD">
      <w:r>
        <w:t>The user defined FHI function, as per the Model, is detailed below:</w:t>
      </w:r>
    </w:p>
    <w:p w14:paraId="4BA01E83" w14:textId="77777777" w:rsidR="003647FD" w:rsidRPr="003972BB" w:rsidRDefault="003647FD" w:rsidP="003647FD"/>
    <w:p w14:paraId="58BF70B7" w14:textId="77777777" w:rsidR="003647FD" w:rsidRDefault="003647FD" w:rsidP="003647FD"/>
    <w:p w14:paraId="4353F040" w14:textId="77777777" w:rsidR="003647FD" w:rsidRDefault="003647FD" w:rsidP="003647FD">
      <w:r>
        <w:t>Public Function FHI(ratioscoreArray As Range, weightArray As Range) As Double</w:t>
      </w:r>
    </w:p>
    <w:p w14:paraId="0634A3F1" w14:textId="77777777" w:rsidR="003647FD" w:rsidRDefault="003647FD" w:rsidP="003647FD">
      <w:r>
        <w:t xml:space="preserve">    ' Calculates a weighted-average FHI score taking</w:t>
      </w:r>
    </w:p>
    <w:p w14:paraId="2C81FC1D" w14:textId="77777777" w:rsidR="003647FD" w:rsidRDefault="003647FD" w:rsidP="003647FD">
      <w:r>
        <w:t xml:space="preserve">    ' into account missing ratios.</w:t>
      </w:r>
    </w:p>
    <w:p w14:paraId="11B1BAC8" w14:textId="77777777" w:rsidR="003647FD" w:rsidRDefault="003647FD" w:rsidP="003647FD">
      <w:r>
        <w:t xml:space="preserve">    ' There are 7 ratios with individual weightings, with 4 overall category weightings.</w:t>
      </w:r>
    </w:p>
    <w:p w14:paraId="6A5740C1" w14:textId="77777777" w:rsidR="003647FD" w:rsidRDefault="003647FD" w:rsidP="003647FD">
      <w:r>
        <w:t xml:space="preserve">    ' e.g., there are 3 ratios for the Asset category.</w:t>
      </w:r>
    </w:p>
    <w:p w14:paraId="305C0B80" w14:textId="77777777" w:rsidR="003647FD" w:rsidRDefault="003647FD" w:rsidP="003647FD">
      <w:r>
        <w:t xml:space="preserve">    </w:t>
      </w:r>
    </w:p>
    <w:p w14:paraId="5631E9BE" w14:textId="77777777" w:rsidR="003647FD" w:rsidRDefault="003647FD" w:rsidP="003647FD">
      <w:r>
        <w:t xml:space="preserve">    On Error GoTo Err</w:t>
      </w:r>
    </w:p>
    <w:p w14:paraId="53E0F95C" w14:textId="77777777" w:rsidR="003647FD" w:rsidRDefault="003647FD" w:rsidP="003647FD">
      <w:r>
        <w:t xml:space="preserve">    </w:t>
      </w:r>
    </w:p>
    <w:p w14:paraId="78CB285E" w14:textId="77777777" w:rsidR="003647FD" w:rsidRDefault="003647FD" w:rsidP="003647FD">
      <w:r>
        <w:t xml:space="preserve">    ' array bound checks</w:t>
      </w:r>
    </w:p>
    <w:p w14:paraId="24D89835" w14:textId="77777777" w:rsidR="003647FD" w:rsidRDefault="003647FD" w:rsidP="003647FD">
      <w:r>
        <w:t xml:space="preserve">    If ratioscoreArray.Rows.Count = 1 Then</w:t>
      </w:r>
    </w:p>
    <w:p w14:paraId="2453FF0C" w14:textId="77777777" w:rsidR="003647FD" w:rsidRDefault="003647FD" w:rsidP="003647FD">
      <w:r>
        <w:t xml:space="preserve">        If ratioscoreArray.Columns.Count &lt;&gt; 7 Then</w:t>
      </w:r>
    </w:p>
    <w:p w14:paraId="456C4860" w14:textId="77777777" w:rsidR="003647FD" w:rsidRDefault="003647FD" w:rsidP="003647FD">
      <w:r>
        <w:lastRenderedPageBreak/>
        <w:t xml:space="preserve">            MsgBox ("function error: FHI - Ratio array bounds incorrect.")</w:t>
      </w:r>
    </w:p>
    <w:p w14:paraId="66215C9F" w14:textId="77777777" w:rsidR="003647FD" w:rsidRDefault="003647FD" w:rsidP="003647FD">
      <w:r>
        <w:t xml:space="preserve">            GoTo Err</w:t>
      </w:r>
    </w:p>
    <w:p w14:paraId="28EB201F" w14:textId="77777777" w:rsidR="003647FD" w:rsidRDefault="003647FD" w:rsidP="003647FD">
      <w:r>
        <w:t xml:space="preserve">        End If</w:t>
      </w:r>
    </w:p>
    <w:p w14:paraId="5F3C0F5D" w14:textId="77777777" w:rsidR="003647FD" w:rsidRDefault="003647FD" w:rsidP="003647FD">
      <w:r>
        <w:t xml:space="preserve">    ElseIf ratioscoreArray.Rows.Count = 7 Then</w:t>
      </w:r>
    </w:p>
    <w:p w14:paraId="1E265547" w14:textId="77777777" w:rsidR="003647FD" w:rsidRDefault="003647FD" w:rsidP="003647FD">
      <w:r>
        <w:t xml:space="preserve">        If ratioscoreArray.Columns.Count &lt;&gt; 1 Then</w:t>
      </w:r>
    </w:p>
    <w:p w14:paraId="3FA24D40" w14:textId="77777777" w:rsidR="003647FD" w:rsidRDefault="003647FD" w:rsidP="003647FD">
      <w:r>
        <w:t xml:space="preserve">            MsgBox ("function error: FHI - Ratio array bounds incorrect.")</w:t>
      </w:r>
    </w:p>
    <w:p w14:paraId="507A5C87" w14:textId="77777777" w:rsidR="003647FD" w:rsidRDefault="003647FD" w:rsidP="003647FD">
      <w:r>
        <w:t xml:space="preserve">            GoTo Err</w:t>
      </w:r>
    </w:p>
    <w:p w14:paraId="013C7D70" w14:textId="77777777" w:rsidR="003647FD" w:rsidRDefault="003647FD" w:rsidP="003647FD">
      <w:r>
        <w:t xml:space="preserve">        End If</w:t>
      </w:r>
    </w:p>
    <w:p w14:paraId="08A4F5BA" w14:textId="77777777" w:rsidR="003647FD" w:rsidRDefault="003647FD" w:rsidP="003647FD">
      <w:r>
        <w:t xml:space="preserve">    End If</w:t>
      </w:r>
    </w:p>
    <w:p w14:paraId="3B73915A" w14:textId="77777777" w:rsidR="003647FD" w:rsidRDefault="003647FD" w:rsidP="003647FD">
      <w:r>
        <w:t xml:space="preserve">    </w:t>
      </w:r>
    </w:p>
    <w:p w14:paraId="5B9BF230" w14:textId="77777777" w:rsidR="003647FD" w:rsidRDefault="003647FD" w:rsidP="003647FD">
      <w:r>
        <w:t xml:space="preserve">    If weightArray.Rows.Count = 1 Then</w:t>
      </w:r>
    </w:p>
    <w:p w14:paraId="08A6FE59" w14:textId="77777777" w:rsidR="003647FD" w:rsidRDefault="003647FD" w:rsidP="003647FD">
      <w:r>
        <w:t xml:space="preserve">        If weightArray.Columns.Count &lt;&gt; 7 Then</w:t>
      </w:r>
    </w:p>
    <w:p w14:paraId="097846D2" w14:textId="77777777" w:rsidR="003647FD" w:rsidRDefault="003647FD" w:rsidP="003647FD">
      <w:r>
        <w:t xml:space="preserve">            MsgBox ("function error: FHI - Weight array bounds incorrect.")</w:t>
      </w:r>
    </w:p>
    <w:p w14:paraId="66419963" w14:textId="77777777" w:rsidR="003647FD" w:rsidRDefault="003647FD" w:rsidP="003647FD">
      <w:r>
        <w:t xml:space="preserve">            GoTo Err</w:t>
      </w:r>
    </w:p>
    <w:p w14:paraId="7DA66685" w14:textId="77777777" w:rsidR="003647FD" w:rsidRDefault="003647FD" w:rsidP="003647FD">
      <w:r>
        <w:t xml:space="preserve">        End If</w:t>
      </w:r>
    </w:p>
    <w:p w14:paraId="73B7EA4F" w14:textId="77777777" w:rsidR="003647FD" w:rsidRDefault="003647FD" w:rsidP="003647FD">
      <w:r>
        <w:t xml:space="preserve">    ElseIf weightArray.Rows.Count = 7 Then</w:t>
      </w:r>
    </w:p>
    <w:p w14:paraId="71A4CB69" w14:textId="77777777" w:rsidR="003647FD" w:rsidRDefault="003647FD" w:rsidP="003647FD">
      <w:r>
        <w:t xml:space="preserve">        If weightArray.Columns.Count &lt;&gt; 1 Then</w:t>
      </w:r>
    </w:p>
    <w:p w14:paraId="5A1C7EF1" w14:textId="77777777" w:rsidR="003647FD" w:rsidRDefault="003647FD" w:rsidP="003647FD">
      <w:r>
        <w:t xml:space="preserve">            MsgBox ("function error: FHI - Weight array bounds incorrect.")</w:t>
      </w:r>
    </w:p>
    <w:p w14:paraId="123ED0E0" w14:textId="77777777" w:rsidR="003647FD" w:rsidRDefault="003647FD" w:rsidP="003647FD">
      <w:r>
        <w:t xml:space="preserve">            GoTo Err</w:t>
      </w:r>
    </w:p>
    <w:p w14:paraId="0EDFD561" w14:textId="77777777" w:rsidR="003647FD" w:rsidRDefault="003647FD" w:rsidP="003647FD">
      <w:r>
        <w:t xml:space="preserve">        End If</w:t>
      </w:r>
    </w:p>
    <w:p w14:paraId="3C099FF6" w14:textId="77777777" w:rsidR="003647FD" w:rsidRDefault="003647FD" w:rsidP="003647FD">
      <w:r>
        <w:t xml:space="preserve">    End If</w:t>
      </w:r>
    </w:p>
    <w:p w14:paraId="584A8345" w14:textId="77777777" w:rsidR="003647FD" w:rsidRDefault="003647FD" w:rsidP="003647FD">
      <w:r>
        <w:t xml:space="preserve">    </w:t>
      </w:r>
    </w:p>
    <w:p w14:paraId="3D9AE547" w14:textId="77777777" w:rsidR="003647FD" w:rsidRDefault="003647FD" w:rsidP="003647FD">
      <w:r>
        <w:t xml:space="preserve">    ' The ratios are ordered/grouped as follows</w:t>
      </w:r>
    </w:p>
    <w:p w14:paraId="7A5AAE41" w14:textId="77777777" w:rsidR="003647FD" w:rsidRDefault="003647FD" w:rsidP="003647FD">
      <w:r>
        <w:t xml:space="preserve">    ' 1. Current</w:t>
      </w:r>
    </w:p>
    <w:p w14:paraId="03DBEF2D" w14:textId="77777777" w:rsidR="003647FD" w:rsidRDefault="003647FD" w:rsidP="003647FD">
      <w:r>
        <w:t xml:space="preserve">    ' 2a. Asset Consumption</w:t>
      </w:r>
    </w:p>
    <w:p w14:paraId="277332B1" w14:textId="77777777" w:rsidR="003647FD" w:rsidRDefault="003647FD" w:rsidP="003647FD">
      <w:r>
        <w:t xml:space="preserve">    ' 2b. Asset Renewal</w:t>
      </w:r>
    </w:p>
    <w:p w14:paraId="096C83A0" w14:textId="77777777" w:rsidR="003647FD" w:rsidRDefault="003647FD" w:rsidP="003647FD">
      <w:r>
        <w:t xml:space="preserve">    ' 2c. Asset Sustainability</w:t>
      </w:r>
    </w:p>
    <w:p w14:paraId="23024401" w14:textId="77777777" w:rsidR="003647FD" w:rsidRDefault="003647FD" w:rsidP="003647FD">
      <w:r>
        <w:t xml:space="preserve">    ' 3. DSCR</w:t>
      </w:r>
    </w:p>
    <w:p w14:paraId="28F79AA7" w14:textId="77777777" w:rsidR="003647FD" w:rsidRDefault="003647FD" w:rsidP="003647FD">
      <w:r>
        <w:t xml:space="preserve">    ' 4a. Operating Surplus</w:t>
      </w:r>
    </w:p>
    <w:p w14:paraId="3DF4CCAA" w14:textId="77777777" w:rsidR="003647FD" w:rsidRDefault="003647FD" w:rsidP="003647FD">
      <w:r>
        <w:t xml:space="preserve">    ' 4b. Own Source Revenue Coverage</w:t>
      </w:r>
    </w:p>
    <w:p w14:paraId="735C60FC" w14:textId="77777777" w:rsidR="003647FD" w:rsidRDefault="003647FD" w:rsidP="003647FD">
      <w:r>
        <w:t xml:space="preserve">    </w:t>
      </w:r>
    </w:p>
    <w:p w14:paraId="3A018B79" w14:textId="77777777" w:rsidR="003647FD" w:rsidRDefault="003647FD" w:rsidP="003647FD">
      <w:r>
        <w:t xml:space="preserve">    ' If we have a missing ratio, then we first want to normalise the weights within the same category.</w:t>
      </w:r>
    </w:p>
    <w:p w14:paraId="68507865" w14:textId="77777777" w:rsidR="003647FD" w:rsidRDefault="003647FD" w:rsidP="003647FD">
      <w:r>
        <w:lastRenderedPageBreak/>
        <w:t xml:space="preserve">    ' If there are are no other weights in this category, then all weights are to be renormalised.</w:t>
      </w:r>
    </w:p>
    <w:p w14:paraId="7227B9EB" w14:textId="77777777" w:rsidR="003647FD" w:rsidRDefault="003647FD" w:rsidP="003647FD">
      <w:r>
        <w:t xml:space="preserve">    </w:t>
      </w:r>
    </w:p>
    <w:p w14:paraId="7914568B" w14:textId="77777777" w:rsidR="003647FD" w:rsidRDefault="003647FD" w:rsidP="003647FD">
      <w:r>
        <w:t xml:space="preserve">    Dim i As Long</w:t>
      </w:r>
    </w:p>
    <w:p w14:paraId="1C48FB2C" w14:textId="77777777" w:rsidR="003647FD" w:rsidRDefault="003647FD" w:rsidP="003647FD">
      <w:r>
        <w:t xml:space="preserve">    ' Arrays to store the final weights &amp; ratio scores</w:t>
      </w:r>
    </w:p>
    <w:p w14:paraId="36D89762" w14:textId="77777777" w:rsidR="003647FD" w:rsidRDefault="003647FD" w:rsidP="003647FD">
      <w:r>
        <w:t xml:space="preserve">    Dim w(1 To 7) As Double</w:t>
      </w:r>
    </w:p>
    <w:p w14:paraId="2E34609F" w14:textId="77777777" w:rsidR="003647FD" w:rsidRDefault="003647FD" w:rsidP="003647FD">
      <w:r>
        <w:t xml:space="preserve">    Dim r(1 To 7) As Double</w:t>
      </w:r>
    </w:p>
    <w:p w14:paraId="2A6B7B52" w14:textId="77777777" w:rsidR="003647FD" w:rsidRDefault="003647FD" w:rsidP="003647FD">
      <w:r>
        <w:t xml:space="preserve">    </w:t>
      </w:r>
    </w:p>
    <w:p w14:paraId="7866BE2B" w14:textId="77777777" w:rsidR="003647FD" w:rsidRDefault="003647FD" w:rsidP="003647FD">
      <w:r>
        <w:t xml:space="preserve">    ' CURRENT RATIO</w:t>
      </w:r>
    </w:p>
    <w:p w14:paraId="189A7F78" w14:textId="77777777" w:rsidR="003647FD" w:rsidRDefault="003647FD" w:rsidP="003647FD">
      <w:r>
        <w:t xml:space="preserve">    If IsNumeric(ratioscoreArray(1)) And Len(ratioscoreArray(1)) &gt; 0 Then</w:t>
      </w:r>
    </w:p>
    <w:p w14:paraId="7A18DE34" w14:textId="77777777" w:rsidR="003647FD" w:rsidRDefault="003647FD" w:rsidP="003647FD">
      <w:r>
        <w:t xml:space="preserve">        w(1) = weightArray(1)</w:t>
      </w:r>
    </w:p>
    <w:p w14:paraId="27117943" w14:textId="77777777" w:rsidR="003647FD" w:rsidRDefault="003647FD" w:rsidP="003647FD">
      <w:r>
        <w:t xml:space="preserve">        r(1) = ratioscoreArray(1)</w:t>
      </w:r>
    </w:p>
    <w:p w14:paraId="6465C94B" w14:textId="77777777" w:rsidR="003647FD" w:rsidRDefault="003647FD" w:rsidP="003647FD">
      <w:r>
        <w:t xml:space="preserve">    Else</w:t>
      </w:r>
    </w:p>
    <w:p w14:paraId="2FE826CD" w14:textId="77777777" w:rsidR="003647FD" w:rsidRDefault="003647FD" w:rsidP="003647FD">
      <w:r>
        <w:t xml:space="preserve">        ' no value for this ratio - need to ignore the weighting for this ratio when summing weights for normalisation</w:t>
      </w:r>
    </w:p>
    <w:p w14:paraId="7825572B" w14:textId="77777777" w:rsidR="003647FD" w:rsidRDefault="003647FD" w:rsidP="003647FD">
      <w:r>
        <w:t xml:space="preserve">        w(1) = 0#</w:t>
      </w:r>
    </w:p>
    <w:p w14:paraId="4B8DFE83" w14:textId="77777777" w:rsidR="003647FD" w:rsidRDefault="003647FD" w:rsidP="003647FD">
      <w:r>
        <w:t xml:space="preserve">        r(1) = 1#</w:t>
      </w:r>
    </w:p>
    <w:p w14:paraId="2169C507" w14:textId="77777777" w:rsidR="003647FD" w:rsidRDefault="003647FD" w:rsidP="003647FD">
      <w:r>
        <w:t xml:space="preserve">    End If</w:t>
      </w:r>
    </w:p>
    <w:p w14:paraId="71B8646C" w14:textId="77777777" w:rsidR="003647FD" w:rsidRDefault="003647FD" w:rsidP="003647FD">
      <w:r>
        <w:t xml:space="preserve">    </w:t>
      </w:r>
    </w:p>
    <w:p w14:paraId="49F17CFE" w14:textId="77777777" w:rsidR="003647FD" w:rsidRDefault="003647FD" w:rsidP="003647FD">
      <w:r>
        <w:t xml:space="preserve">    ' ASSET RATIOS</w:t>
      </w:r>
    </w:p>
    <w:p w14:paraId="5054FC8E" w14:textId="77777777" w:rsidR="003647FD" w:rsidRDefault="003647FD" w:rsidP="003647FD">
      <w:r>
        <w:t xml:space="preserve">    Dim dRequiredTotalAssetWeighting As Double, dAssetWeighting As Double</w:t>
      </w:r>
    </w:p>
    <w:p w14:paraId="6769BD15" w14:textId="77777777" w:rsidR="003647FD" w:rsidRDefault="003647FD" w:rsidP="003647FD">
      <w:r>
        <w:t xml:space="preserve">    dRequiredTotalAssetWeighting = 0#</w:t>
      </w:r>
    </w:p>
    <w:p w14:paraId="5E87C53D" w14:textId="77777777" w:rsidR="003647FD" w:rsidRDefault="003647FD" w:rsidP="003647FD">
      <w:r>
        <w:t xml:space="preserve">    dAssetWeighting = 0#</w:t>
      </w:r>
    </w:p>
    <w:p w14:paraId="19A6A39B" w14:textId="77777777" w:rsidR="003647FD" w:rsidRDefault="003647FD" w:rsidP="003647FD">
      <w:r>
        <w:t xml:space="preserve">    Dim bHaveNoAssetRatios As Boolean</w:t>
      </w:r>
    </w:p>
    <w:p w14:paraId="28DF411C" w14:textId="77777777" w:rsidR="003647FD" w:rsidRDefault="003647FD" w:rsidP="003647FD">
      <w:r>
        <w:t xml:space="preserve">    bHaveNoAssetRatios = True</w:t>
      </w:r>
    </w:p>
    <w:p w14:paraId="17D193CF" w14:textId="77777777" w:rsidR="003647FD" w:rsidRDefault="003647FD" w:rsidP="003647FD">
      <w:r>
        <w:t xml:space="preserve">    For i = 2 To 4</w:t>
      </w:r>
    </w:p>
    <w:p w14:paraId="5E202E5C" w14:textId="77777777" w:rsidR="003647FD" w:rsidRDefault="003647FD" w:rsidP="003647FD">
      <w:r>
        <w:t xml:space="preserve">        If IsNumeric(ratioscoreArray(i)) And Len(ratioscoreArray(i)) &gt; 0 Then</w:t>
      </w:r>
    </w:p>
    <w:p w14:paraId="139F682D" w14:textId="77777777" w:rsidR="003647FD" w:rsidRDefault="003647FD" w:rsidP="003647FD">
      <w:r>
        <w:t xml:space="preserve">            w(i) = weightArray(i)</w:t>
      </w:r>
    </w:p>
    <w:p w14:paraId="656C3746" w14:textId="77777777" w:rsidR="003647FD" w:rsidRDefault="003647FD" w:rsidP="003647FD">
      <w:r>
        <w:t xml:space="preserve">            r(i) = ratioscoreArray(i)</w:t>
      </w:r>
    </w:p>
    <w:p w14:paraId="039169BA" w14:textId="77777777" w:rsidR="003647FD" w:rsidRDefault="003647FD" w:rsidP="003647FD">
      <w:r>
        <w:t xml:space="preserve">            dAssetWeighting = dAssetWeighting + w(i)</w:t>
      </w:r>
    </w:p>
    <w:p w14:paraId="7C91AA42" w14:textId="77777777" w:rsidR="003647FD" w:rsidRDefault="003647FD" w:rsidP="003647FD">
      <w:r>
        <w:lastRenderedPageBreak/>
        <w:t xml:space="preserve">            bHaveNoAssetRatios = False</w:t>
      </w:r>
    </w:p>
    <w:p w14:paraId="7B3D8DD3" w14:textId="77777777" w:rsidR="003647FD" w:rsidRDefault="003647FD" w:rsidP="003647FD">
      <w:r>
        <w:t xml:space="preserve">        Else</w:t>
      </w:r>
    </w:p>
    <w:p w14:paraId="0376CE91" w14:textId="77777777" w:rsidR="003647FD" w:rsidRDefault="003647FD" w:rsidP="003647FD">
      <w:r>
        <w:t xml:space="preserve">        ' no value for this ratio - need to ignore the weighting for this ratio when summing weights for normalisation</w:t>
      </w:r>
    </w:p>
    <w:p w14:paraId="7FDF4E57" w14:textId="77777777" w:rsidR="003647FD" w:rsidRDefault="003647FD" w:rsidP="003647FD">
      <w:r>
        <w:t xml:space="preserve">            w(i) = 0#</w:t>
      </w:r>
    </w:p>
    <w:p w14:paraId="34CD4C41" w14:textId="77777777" w:rsidR="003647FD" w:rsidRDefault="003647FD" w:rsidP="003647FD">
      <w:r>
        <w:t xml:space="preserve">            r(i) = 0#</w:t>
      </w:r>
    </w:p>
    <w:p w14:paraId="42F31BC6" w14:textId="77777777" w:rsidR="003647FD" w:rsidRDefault="003647FD" w:rsidP="003647FD">
      <w:r>
        <w:t xml:space="preserve">        End If</w:t>
      </w:r>
    </w:p>
    <w:p w14:paraId="037D63AF" w14:textId="77777777" w:rsidR="003647FD" w:rsidRDefault="003647FD" w:rsidP="003647FD">
      <w:r>
        <w:t xml:space="preserve">        dRequiredTotalAssetWeighting = dRequiredTotalAssetWeighting + weightArray(i)</w:t>
      </w:r>
    </w:p>
    <w:p w14:paraId="7C65E180" w14:textId="77777777" w:rsidR="003647FD" w:rsidRDefault="003647FD" w:rsidP="003647FD">
      <w:r>
        <w:t xml:space="preserve">    Next i</w:t>
      </w:r>
    </w:p>
    <w:p w14:paraId="6B88DCCA" w14:textId="77777777" w:rsidR="003647FD" w:rsidRDefault="003647FD" w:rsidP="003647FD">
      <w:r>
        <w:t xml:space="preserve">    ' normalise the asset weights</w:t>
      </w:r>
    </w:p>
    <w:p w14:paraId="7C8B23CC" w14:textId="77777777" w:rsidR="003647FD" w:rsidRDefault="003647FD" w:rsidP="003647FD">
      <w:r>
        <w:t xml:space="preserve">    If bHaveNoAssetRatios Then</w:t>
      </w:r>
    </w:p>
    <w:p w14:paraId="00E9310A" w14:textId="77777777" w:rsidR="003647FD" w:rsidRDefault="003647FD" w:rsidP="003647FD">
      <w:r>
        <w:t xml:space="preserve">        ' no need to adjust asset weight to satisfy overall asset category weight</w:t>
      </w:r>
    </w:p>
    <w:p w14:paraId="0D0AFDB7" w14:textId="77777777" w:rsidR="003647FD" w:rsidRDefault="003647FD" w:rsidP="003647FD">
      <w:r>
        <w:t xml:space="preserve">    Else</w:t>
      </w:r>
    </w:p>
    <w:p w14:paraId="79B407FB" w14:textId="77777777" w:rsidR="003647FD" w:rsidRDefault="003647FD" w:rsidP="003647FD">
      <w:r>
        <w:t xml:space="preserve">        For i = 2 To 4</w:t>
      </w:r>
    </w:p>
    <w:p w14:paraId="0AA31DDD" w14:textId="77777777" w:rsidR="003647FD" w:rsidRDefault="003647FD" w:rsidP="003647FD">
      <w:r>
        <w:t xml:space="preserve">            w(i) = w(i) * dRequiredTotalAssetWeighting / dAssetWeighting</w:t>
      </w:r>
    </w:p>
    <w:p w14:paraId="2EBD51EC" w14:textId="77777777" w:rsidR="003647FD" w:rsidRDefault="003647FD" w:rsidP="003647FD">
      <w:r>
        <w:t xml:space="preserve">        Next i</w:t>
      </w:r>
    </w:p>
    <w:p w14:paraId="2FFC8BC6" w14:textId="77777777" w:rsidR="003647FD" w:rsidRDefault="003647FD" w:rsidP="003647FD">
      <w:r>
        <w:t xml:space="preserve">    End If</w:t>
      </w:r>
    </w:p>
    <w:p w14:paraId="068AF7E3" w14:textId="77777777" w:rsidR="003647FD" w:rsidRDefault="003647FD" w:rsidP="003647FD">
      <w:r>
        <w:t xml:space="preserve">    </w:t>
      </w:r>
    </w:p>
    <w:p w14:paraId="1C54617C" w14:textId="77777777" w:rsidR="003647FD" w:rsidRDefault="003647FD" w:rsidP="003647FD">
      <w:r>
        <w:t xml:space="preserve">    </w:t>
      </w:r>
    </w:p>
    <w:p w14:paraId="6C2C975A" w14:textId="77777777" w:rsidR="003647FD" w:rsidRDefault="003647FD" w:rsidP="003647FD">
      <w:r>
        <w:t xml:space="preserve">    ' DEBT RATIO</w:t>
      </w:r>
    </w:p>
    <w:p w14:paraId="05B75893" w14:textId="77777777" w:rsidR="003647FD" w:rsidRDefault="003647FD" w:rsidP="003647FD">
      <w:r>
        <w:t xml:space="preserve">    If IsNumeric(ratioscoreArray(5)) And Len(ratioscoreArray(5)) &gt; 0 Then</w:t>
      </w:r>
    </w:p>
    <w:p w14:paraId="65CDC310" w14:textId="77777777" w:rsidR="003647FD" w:rsidRDefault="003647FD" w:rsidP="003647FD">
      <w:r>
        <w:t xml:space="preserve">        w(5) = weightArray(5)</w:t>
      </w:r>
    </w:p>
    <w:p w14:paraId="21C1177A" w14:textId="77777777" w:rsidR="003647FD" w:rsidRDefault="003647FD" w:rsidP="003647FD">
      <w:r>
        <w:t xml:space="preserve">        r(5) = ratioscoreArray(5)</w:t>
      </w:r>
    </w:p>
    <w:p w14:paraId="07AE74EC" w14:textId="77777777" w:rsidR="003647FD" w:rsidRDefault="003647FD" w:rsidP="003647FD">
      <w:r>
        <w:t xml:space="preserve">    Else</w:t>
      </w:r>
    </w:p>
    <w:p w14:paraId="4AC82DCB" w14:textId="77777777" w:rsidR="003647FD" w:rsidRDefault="003647FD" w:rsidP="003647FD">
      <w:r>
        <w:t xml:space="preserve">        ' no value for this ratio - need to ignore the weighting for this ratio when summing weights for normalisation</w:t>
      </w:r>
    </w:p>
    <w:p w14:paraId="7C919717" w14:textId="77777777" w:rsidR="003647FD" w:rsidRDefault="003647FD" w:rsidP="003647FD">
      <w:r>
        <w:t xml:space="preserve">        w(5) = 0#</w:t>
      </w:r>
    </w:p>
    <w:p w14:paraId="785E3F18" w14:textId="77777777" w:rsidR="003647FD" w:rsidRDefault="003647FD" w:rsidP="003647FD">
      <w:r>
        <w:t xml:space="preserve">        r(5) = 1#</w:t>
      </w:r>
    </w:p>
    <w:p w14:paraId="52A771BB" w14:textId="77777777" w:rsidR="003647FD" w:rsidRDefault="003647FD" w:rsidP="003647FD">
      <w:r>
        <w:t xml:space="preserve">    End If</w:t>
      </w:r>
    </w:p>
    <w:p w14:paraId="7CC2F011" w14:textId="77777777" w:rsidR="003647FD" w:rsidRDefault="003647FD" w:rsidP="003647FD">
      <w:r>
        <w:t xml:space="preserve">    </w:t>
      </w:r>
    </w:p>
    <w:p w14:paraId="5D80B3E9" w14:textId="77777777" w:rsidR="003647FD" w:rsidRDefault="003647FD" w:rsidP="003647FD">
      <w:r>
        <w:lastRenderedPageBreak/>
        <w:t xml:space="preserve">    ' REVENUE RATIOS</w:t>
      </w:r>
    </w:p>
    <w:p w14:paraId="2D82D5AD" w14:textId="77777777" w:rsidR="003647FD" w:rsidRDefault="003647FD" w:rsidP="003647FD">
      <w:r>
        <w:t xml:space="preserve">    Dim dRequiredTotalARevenueWeighting As Double, dRevenueWeightingSum As Double</w:t>
      </w:r>
    </w:p>
    <w:p w14:paraId="0F4C1422" w14:textId="77777777" w:rsidR="003647FD" w:rsidRDefault="003647FD" w:rsidP="003647FD">
      <w:r>
        <w:t xml:space="preserve">    dRequiredTotalARevenueWeighting = 0#</w:t>
      </w:r>
    </w:p>
    <w:p w14:paraId="74AD1E5C" w14:textId="77777777" w:rsidR="003647FD" w:rsidRDefault="003647FD" w:rsidP="003647FD">
      <w:r>
        <w:t xml:space="preserve">    dRevenueWeightingSum = 0#</w:t>
      </w:r>
    </w:p>
    <w:p w14:paraId="3072B099" w14:textId="77777777" w:rsidR="003647FD" w:rsidRDefault="003647FD" w:rsidP="003647FD">
      <w:r>
        <w:t xml:space="preserve">    Dim bHaveNoRevenueRatios As Boolean</w:t>
      </w:r>
    </w:p>
    <w:p w14:paraId="3AEDBD1E" w14:textId="77777777" w:rsidR="003647FD" w:rsidRDefault="003647FD" w:rsidP="003647FD">
      <w:r>
        <w:t xml:space="preserve">    bHaveNoRevenueRatios = True</w:t>
      </w:r>
    </w:p>
    <w:p w14:paraId="4D7CF214" w14:textId="77777777" w:rsidR="003647FD" w:rsidRDefault="003647FD" w:rsidP="003647FD">
      <w:r>
        <w:t xml:space="preserve">    For i = 6 To 7</w:t>
      </w:r>
    </w:p>
    <w:p w14:paraId="4D5FBC5C" w14:textId="77777777" w:rsidR="003647FD" w:rsidRDefault="003647FD" w:rsidP="003647FD">
      <w:r>
        <w:t xml:space="preserve">        If IsNumeric(ratioscoreArray(i)) And Len(ratioscoreArray(i)) &gt; 0 Then</w:t>
      </w:r>
    </w:p>
    <w:p w14:paraId="6CCA001E" w14:textId="77777777" w:rsidR="003647FD" w:rsidRDefault="003647FD" w:rsidP="003647FD">
      <w:r>
        <w:t xml:space="preserve">            w(i) = weightArray(i)</w:t>
      </w:r>
    </w:p>
    <w:p w14:paraId="1C7371EA" w14:textId="77777777" w:rsidR="003647FD" w:rsidRDefault="003647FD" w:rsidP="003647FD">
      <w:r>
        <w:t xml:space="preserve">            r(i) = ratioscoreArray(i)</w:t>
      </w:r>
    </w:p>
    <w:p w14:paraId="13E5F0F5" w14:textId="77777777" w:rsidR="003647FD" w:rsidRDefault="003647FD" w:rsidP="003647FD">
      <w:r>
        <w:t xml:space="preserve">            dRevenueWeightingSum = dRevenueWeightingSum + w(i)</w:t>
      </w:r>
    </w:p>
    <w:p w14:paraId="77599D66" w14:textId="77777777" w:rsidR="003647FD" w:rsidRDefault="003647FD" w:rsidP="003647FD">
      <w:r>
        <w:t xml:space="preserve">            bHaveNoRevenueRatios = False</w:t>
      </w:r>
    </w:p>
    <w:p w14:paraId="43F84D50" w14:textId="77777777" w:rsidR="003647FD" w:rsidRDefault="003647FD" w:rsidP="003647FD">
      <w:r>
        <w:t xml:space="preserve">        Else</w:t>
      </w:r>
    </w:p>
    <w:p w14:paraId="27BAC843" w14:textId="77777777" w:rsidR="003647FD" w:rsidRDefault="003647FD" w:rsidP="003647FD">
      <w:r>
        <w:t xml:space="preserve">           ' no value for this ratio - need to ignore the weighting for this ratio when summing weights for normalisation</w:t>
      </w:r>
    </w:p>
    <w:p w14:paraId="43A16FC8" w14:textId="77777777" w:rsidR="003647FD" w:rsidRDefault="003647FD" w:rsidP="003647FD">
      <w:r>
        <w:t xml:space="preserve">            w(i) = 0#</w:t>
      </w:r>
    </w:p>
    <w:p w14:paraId="234A2366" w14:textId="77777777" w:rsidR="003647FD" w:rsidRDefault="003647FD" w:rsidP="003647FD">
      <w:r>
        <w:t xml:space="preserve">            r(i) = 0#</w:t>
      </w:r>
    </w:p>
    <w:p w14:paraId="6E3CCE6D" w14:textId="77777777" w:rsidR="003647FD" w:rsidRDefault="003647FD" w:rsidP="003647FD">
      <w:r>
        <w:t xml:space="preserve">        End If</w:t>
      </w:r>
    </w:p>
    <w:p w14:paraId="2DC82BA7" w14:textId="77777777" w:rsidR="003647FD" w:rsidRDefault="003647FD" w:rsidP="003647FD">
      <w:r>
        <w:t xml:space="preserve">        dRequiredTotalARevenueWeighting = dRequiredTotalARevenueWeighting + weightArray(i)</w:t>
      </w:r>
    </w:p>
    <w:p w14:paraId="733F697A" w14:textId="77777777" w:rsidR="003647FD" w:rsidRDefault="003647FD" w:rsidP="003647FD">
      <w:r>
        <w:t xml:space="preserve">    Next i</w:t>
      </w:r>
    </w:p>
    <w:p w14:paraId="62BE55EB" w14:textId="77777777" w:rsidR="003647FD" w:rsidRDefault="003647FD" w:rsidP="003647FD">
      <w:r>
        <w:t xml:space="preserve">    ' normalise the revenue weights</w:t>
      </w:r>
    </w:p>
    <w:p w14:paraId="3AF30817" w14:textId="77777777" w:rsidR="003647FD" w:rsidRDefault="003647FD" w:rsidP="003647FD">
      <w:r>
        <w:t xml:space="preserve">    If bHaveNoRevenueRatios Then</w:t>
      </w:r>
    </w:p>
    <w:p w14:paraId="188A2D87" w14:textId="77777777" w:rsidR="003647FD" w:rsidRDefault="003647FD" w:rsidP="003647FD">
      <w:r>
        <w:t xml:space="preserve">        ' no need to adjust asset weight to satisfy overall revenue category weight</w:t>
      </w:r>
    </w:p>
    <w:p w14:paraId="08015F5A" w14:textId="77777777" w:rsidR="003647FD" w:rsidRDefault="003647FD" w:rsidP="003647FD">
      <w:r>
        <w:t xml:space="preserve">    Else</w:t>
      </w:r>
    </w:p>
    <w:p w14:paraId="37B3A1DD" w14:textId="77777777" w:rsidR="003647FD" w:rsidRDefault="003647FD" w:rsidP="003647FD">
      <w:r>
        <w:t xml:space="preserve">        For i = 6 To 7</w:t>
      </w:r>
    </w:p>
    <w:p w14:paraId="01556E89" w14:textId="77777777" w:rsidR="003647FD" w:rsidRDefault="003647FD" w:rsidP="003647FD">
      <w:r>
        <w:t xml:space="preserve">            w(i) = w(i) * dRequiredTotalARevenueWeighting / dRevenueWeightingSum</w:t>
      </w:r>
    </w:p>
    <w:p w14:paraId="457E29AD" w14:textId="77777777" w:rsidR="003647FD" w:rsidRDefault="003647FD" w:rsidP="003647FD">
      <w:r>
        <w:t xml:space="preserve">        Next i</w:t>
      </w:r>
    </w:p>
    <w:p w14:paraId="1411BCA0" w14:textId="77777777" w:rsidR="003647FD" w:rsidRDefault="003647FD" w:rsidP="003647FD">
      <w:r>
        <w:t xml:space="preserve">    End If</w:t>
      </w:r>
    </w:p>
    <w:p w14:paraId="077DFED9" w14:textId="77777777" w:rsidR="003647FD" w:rsidRDefault="003647FD" w:rsidP="003647FD">
      <w:r>
        <w:lastRenderedPageBreak/>
        <w:t xml:space="preserve">   </w:t>
      </w:r>
    </w:p>
    <w:p w14:paraId="07A69191" w14:textId="77777777" w:rsidR="003647FD" w:rsidRDefault="003647FD" w:rsidP="003647FD">
      <w:r>
        <w:t xml:space="preserve">    Dim dNewSumWeights As Double</w:t>
      </w:r>
    </w:p>
    <w:p w14:paraId="1C2B2D23" w14:textId="77777777" w:rsidR="003647FD" w:rsidRDefault="003647FD" w:rsidP="003647FD">
      <w:r>
        <w:t xml:space="preserve">    dNewSumWeights = 0#</w:t>
      </w:r>
    </w:p>
    <w:p w14:paraId="3F6F59CD" w14:textId="77777777" w:rsidR="003647FD" w:rsidRDefault="003647FD" w:rsidP="003647FD">
      <w:r>
        <w:t xml:space="preserve">    For i = 1 To 7</w:t>
      </w:r>
    </w:p>
    <w:p w14:paraId="2DD4EF41" w14:textId="77777777" w:rsidR="003647FD" w:rsidRDefault="003647FD" w:rsidP="003647FD">
      <w:r>
        <w:t xml:space="preserve">        dNewSumWeights = dNewSumWeights + w(i)</w:t>
      </w:r>
    </w:p>
    <w:p w14:paraId="5CEB6C06" w14:textId="77777777" w:rsidR="003647FD" w:rsidRDefault="003647FD" w:rsidP="003647FD">
      <w:r>
        <w:t xml:space="preserve">    Next i</w:t>
      </w:r>
    </w:p>
    <w:p w14:paraId="4E9C1319" w14:textId="77777777" w:rsidR="003647FD" w:rsidRDefault="003647FD" w:rsidP="003647FD">
      <w:r>
        <w:t xml:space="preserve">    ' Now calculate the FSR sum</w:t>
      </w:r>
    </w:p>
    <w:p w14:paraId="549575A8" w14:textId="77777777" w:rsidR="003647FD" w:rsidRDefault="003647FD" w:rsidP="003647FD">
      <w:r>
        <w:t xml:space="preserve">    Dim dScore As Double</w:t>
      </w:r>
    </w:p>
    <w:p w14:paraId="04CF8421" w14:textId="77777777" w:rsidR="003647FD" w:rsidRDefault="003647FD" w:rsidP="003647FD">
      <w:r>
        <w:t xml:space="preserve">    dScore = 0#</w:t>
      </w:r>
    </w:p>
    <w:p w14:paraId="280C8E27" w14:textId="77777777" w:rsidR="003647FD" w:rsidRDefault="003647FD" w:rsidP="003647FD">
      <w:r>
        <w:t xml:space="preserve">    For i = 1 To 7</w:t>
      </w:r>
    </w:p>
    <w:p w14:paraId="04B62F6F" w14:textId="77777777" w:rsidR="003647FD" w:rsidRDefault="003647FD" w:rsidP="003647FD">
      <w:r>
        <w:t xml:space="preserve">        dScore = dScore + r(i) * w(i) / dNewSumWeights</w:t>
      </w:r>
    </w:p>
    <w:p w14:paraId="5C4670D1" w14:textId="77777777" w:rsidR="003647FD" w:rsidRDefault="003647FD" w:rsidP="003647FD">
      <w:r>
        <w:t xml:space="preserve">    Next i</w:t>
      </w:r>
    </w:p>
    <w:p w14:paraId="1562E44F" w14:textId="77777777" w:rsidR="003647FD" w:rsidRDefault="003647FD" w:rsidP="003647FD"/>
    <w:p w14:paraId="0DDD7123" w14:textId="77777777" w:rsidR="003647FD" w:rsidRDefault="003647FD" w:rsidP="003647FD">
      <w:r>
        <w:t xml:space="preserve">    AHFC = 10 * dScore ' rescaled to give final FSR from [0:100]</w:t>
      </w:r>
    </w:p>
    <w:p w14:paraId="0349F54E" w14:textId="77777777" w:rsidR="003647FD" w:rsidRDefault="003647FD" w:rsidP="003647FD">
      <w:r>
        <w:t xml:space="preserve">    Exit Function ' successful function call</w:t>
      </w:r>
    </w:p>
    <w:p w14:paraId="47545D8B" w14:textId="77777777" w:rsidR="003647FD" w:rsidRDefault="003647FD" w:rsidP="003647FD">
      <w:r>
        <w:t xml:space="preserve">    </w:t>
      </w:r>
    </w:p>
    <w:p w14:paraId="0A957DC9" w14:textId="77777777" w:rsidR="003647FD" w:rsidRDefault="003647FD" w:rsidP="003647FD">
      <w:r>
        <w:t>Err: ' catches errors</w:t>
      </w:r>
    </w:p>
    <w:p w14:paraId="24073BCC" w14:textId="77777777" w:rsidR="003647FD" w:rsidRDefault="003647FD" w:rsidP="003647FD">
      <w:r>
        <w:t xml:space="preserve">    FHI = -1</w:t>
      </w:r>
    </w:p>
    <w:p w14:paraId="448DC84B" w14:textId="77777777" w:rsidR="003647FD" w:rsidRPr="003972BB" w:rsidRDefault="003647FD" w:rsidP="003647FD">
      <w:r>
        <w:t>End Function</w:t>
      </w:r>
    </w:p>
    <w:p w14:paraId="0E49AE28" w14:textId="77777777" w:rsidR="003972BB" w:rsidRPr="003972BB" w:rsidRDefault="003972BB" w:rsidP="003647FD">
      <w:pPr>
        <w:spacing w:line="25" w:lineRule="atLeast"/>
      </w:pPr>
    </w:p>
    <w:sectPr w:rsidR="003972BB" w:rsidRPr="003972BB" w:rsidSect="007D20A6">
      <w:headerReference w:type="even" r:id="rId26"/>
      <w:headerReference w:type="default" r:id="rId27"/>
      <w:footerReference w:type="default" r:id="rId28"/>
      <w:headerReference w:type="first" r:id="rId29"/>
      <w:footerReference w:type="first" r:id="rId30"/>
      <w:pgSz w:w="11907" w:h="16840" w:code="9"/>
      <w:pgMar w:top="1418" w:right="1418" w:bottom="1418" w:left="1418" w:header="709"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8CAE4" w14:textId="77777777" w:rsidR="00D84E6A" w:rsidRDefault="00D84E6A" w:rsidP="002B5A00">
      <w:r>
        <w:separator/>
      </w:r>
    </w:p>
  </w:endnote>
  <w:endnote w:type="continuationSeparator" w:id="0">
    <w:p w14:paraId="20A145B0" w14:textId="77777777" w:rsidR="00D84E6A" w:rsidRDefault="00D84E6A" w:rsidP="002B5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01E1" w14:textId="77777777" w:rsidR="00D84E6A" w:rsidRDefault="00D84E6A" w:rsidP="007D2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0D16E" w14:textId="77777777" w:rsidR="00D84E6A" w:rsidRDefault="00D84E6A" w:rsidP="007D20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03B9D" w14:textId="77777777" w:rsidR="00D84E6A" w:rsidRDefault="00D84E6A">
    <w:pPr>
      <w:pStyle w:val="Footer"/>
    </w:pPr>
    <w:r>
      <w:rPr>
        <w:noProof/>
        <w:lang w:eastAsia="en-AU"/>
      </w:rPr>
      <w:drawing>
        <wp:anchor distT="0" distB="0" distL="0" distR="0" simplePos="0" relativeHeight="251657216" behindDoc="0" locked="0" layoutInCell="1" allowOverlap="0" wp14:anchorId="288B23D8" wp14:editId="7CEAE63D">
          <wp:simplePos x="0" y="0"/>
          <wp:positionH relativeFrom="page">
            <wp:posOffset>1800225</wp:posOffset>
          </wp:positionH>
          <wp:positionV relativeFrom="page">
            <wp:posOffset>10095865</wp:posOffset>
          </wp:positionV>
          <wp:extent cx="5400675" cy="266700"/>
          <wp:effectExtent l="19050" t="0" r="9525" b="0"/>
          <wp:wrapSquare wrapText="bothSides"/>
          <wp:docPr id="7" name="Picture 2"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ooter.jpg"/>
                  <pic:cNvPicPr>
                    <a:picLocks noChangeAspect="1" noChangeArrowheads="1"/>
                  </pic:cNvPicPr>
                </pic:nvPicPr>
                <pic:blipFill>
                  <a:blip r:embed="rId1"/>
                  <a:srcRect/>
                  <a:stretch>
                    <a:fillRect/>
                  </a:stretch>
                </pic:blipFill>
                <pic:spPr bwMode="auto">
                  <a:xfrm>
                    <a:off x="0" y="0"/>
                    <a:ext cx="5400675" cy="2667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1208D" w14:textId="77777777" w:rsidR="00D84E6A" w:rsidRPr="00084E87" w:rsidRDefault="00D84E6A" w:rsidP="007D20A6">
    <w:pPr>
      <w:pStyle w:val="Footer"/>
      <w:tabs>
        <w:tab w:val="right" w:pos="9498"/>
      </w:tabs>
      <w:jc w:val="center"/>
      <w:rPr>
        <w:szCs w:val="16"/>
      </w:rPr>
    </w:pPr>
    <w:r>
      <w:rPr>
        <w:rFonts w:eastAsiaTheme="majorEastAsia"/>
        <w:noProof/>
        <w:highlight w:val="yellow"/>
        <w:lang w:eastAsia="en-AU"/>
      </w:rPr>
      <mc:AlternateContent>
        <mc:Choice Requires="wps">
          <w:drawing>
            <wp:anchor distT="0" distB="0" distL="114300" distR="114300" simplePos="0" relativeHeight="251676672" behindDoc="0" locked="0" layoutInCell="1" allowOverlap="1" wp14:anchorId="0C4235AB" wp14:editId="63119BA3">
              <wp:simplePos x="0" y="0"/>
              <wp:positionH relativeFrom="page">
                <wp:posOffset>900430</wp:posOffset>
              </wp:positionH>
              <wp:positionV relativeFrom="page">
                <wp:posOffset>10045065</wp:posOffset>
              </wp:positionV>
              <wp:extent cx="5719445" cy="635"/>
              <wp:effectExtent l="5080" t="5715" r="9525" b="1270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944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754326" id="_x0000_t32" coordsize="21600,21600" o:spt="32" o:oned="t" path="m,l21600,21600e" filled="f">
              <v:path arrowok="t" fillok="f" o:connecttype="none"/>
              <o:lock v:ext="edit" shapetype="t"/>
            </v:shapetype>
            <v:shape id="AutoShape 3" o:spid="_x0000_s1026" type="#_x0000_t32" style="position:absolute;margin-left:70.9pt;margin-top:790.95pt;width:450.35pt;height:.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tkHgIAAD4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" strokeweight=".5pt">
              <w10:wrap anchorx="page" anchory="page"/>
            </v:shape>
          </w:pict>
        </mc:Fallback>
      </mc:AlternateContent>
    </w:r>
    <w:r>
      <w:rPr>
        <w:rFonts w:eastAsiaTheme="majorEastAsia"/>
        <w:noProof/>
        <w:lang w:eastAsia="en-AU"/>
      </w:rPr>
      <w:t xml:space="preserve">Web Based </w:t>
    </w:r>
    <w:r w:rsidR="003647FD">
      <w:rPr>
        <w:rFonts w:eastAsiaTheme="majorEastAsia"/>
        <w:noProof/>
        <w:lang w:eastAsia="en-AU"/>
      </w:rPr>
      <w:t>FHI</w:t>
    </w:r>
    <w:r>
      <w:rPr>
        <w:rFonts w:eastAsiaTheme="majorEastAsia"/>
        <w:noProof/>
        <w:lang w:eastAsia="en-AU"/>
      </w:rPr>
      <w:t xml:space="preserve"> – Functional Specification</w:t>
    </w:r>
    <w:r w:rsidRPr="00084E87">
      <w:rPr>
        <w:szCs w:val="16"/>
      </w:rPr>
      <w:tab/>
      <w:t xml:space="preserve">- </w:t>
    </w:r>
    <w:r w:rsidRPr="00084E87">
      <w:rPr>
        <w:szCs w:val="16"/>
      </w:rPr>
      <w:fldChar w:fldCharType="begin"/>
    </w:r>
    <w:r w:rsidRPr="00084E87">
      <w:rPr>
        <w:szCs w:val="16"/>
      </w:rPr>
      <w:instrText xml:space="preserve"> PAGE   \* MERGEFORMAT </w:instrText>
    </w:r>
    <w:r w:rsidRPr="00084E87">
      <w:rPr>
        <w:szCs w:val="16"/>
      </w:rPr>
      <w:fldChar w:fldCharType="separate"/>
    </w:r>
    <w:r w:rsidR="009D2910">
      <w:rPr>
        <w:noProof/>
        <w:szCs w:val="16"/>
      </w:rPr>
      <w:t>3</w:t>
    </w:r>
    <w:r w:rsidRPr="00084E87">
      <w:rPr>
        <w:szCs w:val="16"/>
      </w:rPr>
      <w:fldChar w:fldCharType="end"/>
    </w:r>
    <w:r w:rsidRPr="00084E87">
      <w:rPr>
        <w:szCs w:val="16"/>
      </w:rPr>
      <w:t xml:space="preserve"> -</w:t>
    </w:r>
    <w:r w:rsidRPr="00084E87">
      <w:rPr>
        <w:szCs w:val="16"/>
      </w:rPr>
      <w:tab/>
    </w:r>
  </w:p>
  <w:p w14:paraId="3E4AACBF" w14:textId="77777777" w:rsidR="00D84E6A" w:rsidRPr="009239F2" w:rsidRDefault="00D84E6A" w:rsidP="007D20A6">
    <w:pPr>
      <w:pStyle w:val="Footer"/>
      <w:tabs>
        <w:tab w:val="right" w:pos="9498"/>
      </w:tabs>
      <w:jc w:val="center"/>
      <w:rPr>
        <w:rStyle w:val="PageNumbe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6E1D9" w14:textId="77777777" w:rsidR="00D84E6A" w:rsidRPr="003D3568" w:rsidRDefault="00D84E6A" w:rsidP="003D3568">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9A251" w14:textId="77777777" w:rsidR="00D84E6A" w:rsidRDefault="00D84E6A" w:rsidP="002B5A00">
      <w:r>
        <w:separator/>
      </w:r>
    </w:p>
  </w:footnote>
  <w:footnote w:type="continuationSeparator" w:id="0">
    <w:p w14:paraId="25AABE28" w14:textId="77777777" w:rsidR="00D84E6A" w:rsidRDefault="00D84E6A" w:rsidP="002B5A00">
      <w:r>
        <w:continuationSeparator/>
      </w:r>
    </w:p>
  </w:footnote>
  <w:footnote w:id="1">
    <w:p w14:paraId="358CB719" w14:textId="77777777" w:rsidR="003647FD" w:rsidRPr="002E085A" w:rsidRDefault="003647FD" w:rsidP="003647FD">
      <w:pPr>
        <w:pStyle w:val="FootnoteText"/>
        <w:rPr>
          <w:sz w:val="16"/>
        </w:rPr>
      </w:pPr>
      <w:r w:rsidRPr="002E085A">
        <w:rPr>
          <w:rStyle w:val="FootnoteReference"/>
          <w:sz w:val="16"/>
        </w:rPr>
        <w:footnoteRef/>
      </w:r>
      <w:r w:rsidRPr="002E085A">
        <w:rPr>
          <w:sz w:val="16"/>
        </w:rPr>
        <w:t xml:space="preserve"> </w:t>
      </w:r>
      <w:r>
        <w:rPr>
          <w:sz w:val="16"/>
        </w:rPr>
        <w:t xml:space="preserve">Note:  </w:t>
      </w:r>
      <w:r w:rsidRPr="002E085A">
        <w:rPr>
          <w:sz w:val="16"/>
        </w:rPr>
        <w:t>Figures do not sum to 100% due to rounding.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A0987" w14:textId="77777777" w:rsidR="00D84E6A" w:rsidRPr="00FE731C" w:rsidRDefault="00D84E6A" w:rsidP="007D20A6">
    <w:pPr>
      <w:pStyle w:val="Header"/>
    </w:pPr>
    <w:r>
      <w:rPr>
        <w:noProof/>
        <w:lang w:eastAsia="en-AU"/>
      </w:rPr>
      <mc:AlternateContent>
        <mc:Choice Requires="wps">
          <w:drawing>
            <wp:anchor distT="0" distB="0" distL="114300" distR="114300" simplePos="0" relativeHeight="251658240" behindDoc="0" locked="0" layoutInCell="1" allowOverlap="1" wp14:anchorId="34A2A976" wp14:editId="5F4BF1FA">
              <wp:simplePos x="0" y="0"/>
              <wp:positionH relativeFrom="page">
                <wp:posOffset>900430</wp:posOffset>
              </wp:positionH>
              <wp:positionV relativeFrom="page">
                <wp:posOffset>756285</wp:posOffset>
              </wp:positionV>
              <wp:extent cx="6047740" cy="0"/>
              <wp:effectExtent l="14605" t="13335" r="14605" b="1524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12700">
                        <a:solidFill>
                          <a:srgbClr val="003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A3AD6E" id="_x0000_t32" coordsize="21600,21600" o:spt="32" o:oned="t" path="m,l21600,21600e" filled="f">
              <v:path arrowok="t" fillok="f" o:connecttype="none"/>
              <o:lock v:ext="edit" shapetype="t"/>
            </v:shapetype>
            <v:shape id="AutoShape 1" o:spid="_x0000_s1026" type="#_x0000_t32" style="position:absolute;margin-left:70.9pt;margin-top:59.55pt;width:476.2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" strokecolor="#003767" strokeweight="1pt">
              <w10:wrap anchorx="page" anchory="page"/>
            </v:shape>
          </w:pict>
        </mc:Fallback>
      </mc:AlternateContent>
    </w:r>
    <w:r>
      <w:rPr>
        <w:noProof/>
        <w:lang w:eastAsia="en-AU"/>
      </w:rPr>
      <w:drawing>
        <wp:anchor distT="0" distB="0" distL="114300" distR="114300" simplePos="0" relativeHeight="251655168" behindDoc="0" locked="0" layoutInCell="1" allowOverlap="1" wp14:anchorId="7F8EE30D" wp14:editId="27A964C2">
          <wp:simplePos x="0" y="0"/>
          <wp:positionH relativeFrom="page">
            <wp:posOffset>4982845</wp:posOffset>
          </wp:positionH>
          <wp:positionV relativeFrom="page">
            <wp:posOffset>450215</wp:posOffset>
          </wp:positionV>
          <wp:extent cx="1959610" cy="247650"/>
          <wp:effectExtent l="19050" t="0" r="2540" b="0"/>
          <wp:wrapNone/>
          <wp:docPr id="1" name="Picture 1" descr="WATC Logo Cool Gray 10 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 Logo Cool Gray 10 C RGB"/>
                  <pic:cNvPicPr>
                    <a:picLocks noChangeAspect="1" noChangeArrowheads="1"/>
                  </pic:cNvPicPr>
                </pic:nvPicPr>
                <pic:blipFill>
                  <a:blip r:embed="rId1"/>
                  <a:srcRect/>
                  <a:stretch>
                    <a:fillRect/>
                  </a:stretch>
                </pic:blipFill>
                <pic:spPr bwMode="auto">
                  <a:xfrm>
                    <a:off x="0" y="0"/>
                    <a:ext cx="1959610" cy="2476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5EFD" w14:textId="77777777" w:rsidR="00D84E6A" w:rsidRDefault="00D84E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585B" w14:textId="77777777" w:rsidR="00D84E6A" w:rsidRPr="00FE731C" w:rsidRDefault="00D84E6A" w:rsidP="007D20A6">
    <w:pPr>
      <w:pStyle w:val="Header"/>
      <w:rPr>
        <w:szCs w:val="20"/>
      </w:rPr>
    </w:pPr>
    <w:r>
      <w:rPr>
        <w:noProof/>
        <w:szCs w:val="20"/>
        <w:lang w:eastAsia="en-AU"/>
      </w:rPr>
      <w:drawing>
        <wp:anchor distT="0" distB="0" distL="114300" distR="114300" simplePos="0" relativeHeight="251674624" behindDoc="0" locked="0" layoutInCell="1" allowOverlap="1" wp14:anchorId="5A8FAB05" wp14:editId="54A0B834">
          <wp:simplePos x="0" y="0"/>
          <wp:positionH relativeFrom="page">
            <wp:posOffset>4695825</wp:posOffset>
          </wp:positionH>
          <wp:positionV relativeFrom="page">
            <wp:posOffset>447675</wp:posOffset>
          </wp:positionV>
          <wp:extent cx="1959610" cy="247650"/>
          <wp:effectExtent l="19050" t="0" r="2540" b="0"/>
          <wp:wrapNone/>
          <wp:docPr id="11" name="Picture 11" descr="WATC Logo Cool Gray 10 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C Logo Cool Gray 10 C RGB"/>
                  <pic:cNvPicPr>
                    <a:picLocks noChangeAspect="1" noChangeArrowheads="1"/>
                  </pic:cNvPicPr>
                </pic:nvPicPr>
                <pic:blipFill>
                  <a:blip r:embed="rId1"/>
                  <a:srcRect/>
                  <a:stretch>
                    <a:fillRect/>
                  </a:stretch>
                </pic:blipFill>
                <pic:spPr bwMode="auto">
                  <a:xfrm>
                    <a:off x="0" y="0"/>
                    <a:ext cx="1959610" cy="247650"/>
                  </a:xfrm>
                  <a:prstGeom prst="rect">
                    <a:avLst/>
                  </a:prstGeom>
                  <a:noFill/>
                </pic:spPr>
              </pic:pic>
            </a:graphicData>
          </a:graphic>
        </wp:anchor>
      </w:drawing>
    </w:r>
    <w:r>
      <w:rPr>
        <w:noProof/>
        <w:szCs w:val="20"/>
        <w:lang w:eastAsia="en-AU"/>
      </w:rPr>
      <mc:AlternateContent>
        <mc:Choice Requires="wps">
          <w:drawing>
            <wp:anchor distT="0" distB="0" distL="114300" distR="114300" simplePos="0" relativeHeight="251675648" behindDoc="0" locked="0" layoutInCell="1" allowOverlap="1" wp14:anchorId="34C7977B" wp14:editId="680B156F">
              <wp:simplePos x="0" y="0"/>
              <wp:positionH relativeFrom="page">
                <wp:posOffset>900430</wp:posOffset>
              </wp:positionH>
              <wp:positionV relativeFrom="page">
                <wp:posOffset>756285</wp:posOffset>
              </wp:positionV>
              <wp:extent cx="5767070" cy="0"/>
              <wp:effectExtent l="14605" t="13335" r="9525" b="152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straightConnector1">
                        <a:avLst/>
                      </a:prstGeom>
                      <a:noFill/>
                      <a:ln w="12700">
                        <a:solidFill>
                          <a:srgbClr val="003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68BF67" id="_x0000_t32" coordsize="21600,21600" o:spt="32" o:oned="t" path="m,l21600,21600e" filled="f">
              <v:path arrowok="t" fillok="f" o:connecttype="none"/>
              <o:lock v:ext="edit" shapetype="t"/>
            </v:shapetype>
            <v:shape id="AutoShape 2" o:spid="_x0000_s1026" type="#_x0000_t32" style="position:absolute;margin-left:70.9pt;margin-top:59.55pt;width:454.1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" strokecolor="#003767" strokeweight="1pt">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CBAA1" w14:textId="77777777" w:rsidR="00D84E6A" w:rsidRDefault="00D84E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225A1"/>
    <w:multiLevelType w:val="hybridMultilevel"/>
    <w:tmpl w:val="ABD6B784"/>
    <w:lvl w:ilvl="0" w:tplc="DC30D90E">
      <w:start w:val="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787DCE"/>
    <w:multiLevelType w:val="hybridMultilevel"/>
    <w:tmpl w:val="57E453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AD5D35"/>
    <w:multiLevelType w:val="hybridMultilevel"/>
    <w:tmpl w:val="CE0AF4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77161E7"/>
    <w:multiLevelType w:val="hybridMultilevel"/>
    <w:tmpl w:val="1258222C"/>
    <w:lvl w:ilvl="0" w:tplc="43EAD8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0B30AB"/>
    <w:multiLevelType w:val="hybridMultilevel"/>
    <w:tmpl w:val="87683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67377F"/>
    <w:multiLevelType w:val="hybridMultilevel"/>
    <w:tmpl w:val="65E44BF0"/>
    <w:lvl w:ilvl="0" w:tplc="68BEC7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A028E"/>
    <w:multiLevelType w:val="hybridMultilevel"/>
    <w:tmpl w:val="F932A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581471"/>
    <w:multiLevelType w:val="hybridMultilevel"/>
    <w:tmpl w:val="F748197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6F3137"/>
    <w:multiLevelType w:val="multilevel"/>
    <w:tmpl w:val="79985F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A284E92"/>
    <w:multiLevelType w:val="hybridMultilevel"/>
    <w:tmpl w:val="5C187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F572C00"/>
    <w:multiLevelType w:val="hybridMultilevel"/>
    <w:tmpl w:val="519A19A0"/>
    <w:lvl w:ilvl="0" w:tplc="6FCAF866">
      <w:start w:val="1"/>
      <w:numFmt w:val="decimal"/>
      <w:lvlText w:val="%1."/>
      <w:lvlJc w:val="left"/>
      <w:pPr>
        <w:ind w:left="360" w:hanging="360"/>
      </w:pPr>
      <w:rPr>
        <w:rFonts w:eastAsiaTheme="majorEastAsia" w:cs="Arial" w:hint="default"/>
        <w:b/>
        <w:i/>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28474FA"/>
    <w:multiLevelType w:val="multilevel"/>
    <w:tmpl w:val="E0907B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8005A80"/>
    <w:multiLevelType w:val="hybridMultilevel"/>
    <w:tmpl w:val="50EC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7825F2"/>
    <w:multiLevelType w:val="hybridMultilevel"/>
    <w:tmpl w:val="E7BA4DC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A7E7E16"/>
    <w:multiLevelType w:val="hybridMultilevel"/>
    <w:tmpl w:val="DFB2564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4F4677"/>
    <w:multiLevelType w:val="hybridMultilevel"/>
    <w:tmpl w:val="0E5AF2C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2CB6B96"/>
    <w:multiLevelType w:val="hybridMultilevel"/>
    <w:tmpl w:val="31561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800188"/>
    <w:multiLevelType w:val="hybridMultilevel"/>
    <w:tmpl w:val="519A19A0"/>
    <w:lvl w:ilvl="0" w:tplc="6FCAF866">
      <w:start w:val="1"/>
      <w:numFmt w:val="decimal"/>
      <w:lvlText w:val="%1."/>
      <w:lvlJc w:val="left"/>
      <w:pPr>
        <w:ind w:left="360" w:hanging="360"/>
      </w:pPr>
      <w:rPr>
        <w:rFonts w:eastAsiaTheme="majorEastAsia" w:cs="Arial" w:hint="default"/>
        <w:b/>
        <w:i/>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684B67"/>
    <w:multiLevelType w:val="hybridMultilevel"/>
    <w:tmpl w:val="FE7A54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37257D9"/>
    <w:multiLevelType w:val="hybridMultilevel"/>
    <w:tmpl w:val="65E44BF0"/>
    <w:lvl w:ilvl="0" w:tplc="68BEC7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931B02"/>
    <w:multiLevelType w:val="hybridMultilevel"/>
    <w:tmpl w:val="F748197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9009A0"/>
    <w:multiLevelType w:val="hybridMultilevel"/>
    <w:tmpl w:val="C3647982"/>
    <w:lvl w:ilvl="0" w:tplc="6FCAF866">
      <w:start w:val="1"/>
      <w:numFmt w:val="decimal"/>
      <w:lvlText w:val="%1."/>
      <w:lvlJc w:val="left"/>
      <w:pPr>
        <w:ind w:left="360" w:hanging="360"/>
      </w:pPr>
      <w:rPr>
        <w:rFonts w:eastAsiaTheme="majorEastAsia" w:cs="Arial" w:hint="default"/>
        <w:b/>
        <w:i/>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845E6A"/>
    <w:multiLevelType w:val="hybridMultilevel"/>
    <w:tmpl w:val="8CE0D1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FA58BF"/>
    <w:multiLevelType w:val="multilevel"/>
    <w:tmpl w:val="2FDA48B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D04B06"/>
    <w:multiLevelType w:val="hybridMultilevel"/>
    <w:tmpl w:val="F748197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9546EC9"/>
    <w:multiLevelType w:val="multilevel"/>
    <w:tmpl w:val="A31C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EB8350E"/>
    <w:multiLevelType w:val="hybridMultilevel"/>
    <w:tmpl w:val="335A5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9"/>
  </w:num>
  <w:num w:numId="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6"/>
  </w:num>
  <w:num w:numId="9">
    <w:abstractNumId w:val="23"/>
  </w:num>
  <w:num w:numId="10">
    <w:abstractNumId w:val="12"/>
  </w:num>
  <w:num w:numId="11">
    <w:abstractNumId w:val="23"/>
    <w:lvlOverride w:ilvl="0">
      <w:startOverride w:val="1"/>
    </w:lvlOverride>
    <w:lvlOverride w:ilvl="1">
      <w:startOverride w:val="1"/>
    </w:lvlOverride>
    <w:lvlOverride w:ilvl="2">
      <w:startOverride w:val="1"/>
    </w:lvlOverride>
  </w:num>
  <w:num w:numId="12">
    <w:abstractNumId w:val="23"/>
  </w:num>
  <w:num w:numId="13">
    <w:abstractNumId w:val="23"/>
  </w:num>
  <w:num w:numId="14">
    <w:abstractNumId w:val="23"/>
  </w:num>
  <w:num w:numId="15">
    <w:abstractNumId w:val="23"/>
  </w:num>
  <w:num w:numId="16">
    <w:abstractNumId w:val="23"/>
  </w:num>
  <w:num w:numId="17">
    <w:abstractNumId w:val="23"/>
  </w:num>
  <w:num w:numId="18">
    <w:abstractNumId w:val="23"/>
  </w:num>
  <w:num w:numId="19">
    <w:abstractNumId w:val="0"/>
  </w:num>
  <w:num w:numId="20">
    <w:abstractNumId w:val="23"/>
  </w:num>
  <w:num w:numId="21">
    <w:abstractNumId w:val="23"/>
  </w:num>
  <w:num w:numId="22">
    <w:abstractNumId w:val="1"/>
  </w:num>
  <w:num w:numId="23">
    <w:abstractNumId w:val="24"/>
  </w:num>
  <w:num w:numId="24">
    <w:abstractNumId w:val="3"/>
  </w:num>
  <w:num w:numId="25">
    <w:abstractNumId w:val="5"/>
  </w:num>
  <w:num w:numId="26">
    <w:abstractNumId w:val="22"/>
  </w:num>
  <w:num w:numId="27">
    <w:abstractNumId w:val="7"/>
  </w:num>
  <w:num w:numId="28">
    <w:abstractNumId w:val="20"/>
  </w:num>
  <w:num w:numId="29">
    <w:abstractNumId w:val="23"/>
  </w:num>
  <w:num w:numId="30">
    <w:abstractNumId w:val="16"/>
  </w:num>
  <w:num w:numId="31">
    <w:abstractNumId w:val="4"/>
  </w:num>
  <w:num w:numId="32">
    <w:abstractNumId w:val="10"/>
  </w:num>
  <w:num w:numId="33">
    <w:abstractNumId w:val="21"/>
  </w:num>
  <w:num w:numId="34">
    <w:abstractNumId w:val="19"/>
  </w:num>
  <w:num w:numId="35">
    <w:abstractNumId w:val="17"/>
  </w:num>
  <w:num w:numId="36">
    <w:abstractNumId w:val="23"/>
  </w:num>
  <w:num w:numId="37">
    <w:abstractNumId w:val="6"/>
  </w:num>
  <w:num w:numId="38">
    <w:abstractNumId w:val="18"/>
  </w:num>
  <w:num w:numId="39">
    <w:abstractNumId w:val="13"/>
  </w:num>
  <w:num w:numId="4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8193"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876"/>
    <w:rsid w:val="00000505"/>
    <w:rsid w:val="000007EA"/>
    <w:rsid w:val="0000187F"/>
    <w:rsid w:val="00003E31"/>
    <w:rsid w:val="00004041"/>
    <w:rsid w:val="00004446"/>
    <w:rsid w:val="000049C0"/>
    <w:rsid w:val="00004A50"/>
    <w:rsid w:val="00005D1C"/>
    <w:rsid w:val="000068A2"/>
    <w:rsid w:val="00006A0B"/>
    <w:rsid w:val="00006F41"/>
    <w:rsid w:val="00007444"/>
    <w:rsid w:val="00010FFC"/>
    <w:rsid w:val="0001122A"/>
    <w:rsid w:val="00013DE1"/>
    <w:rsid w:val="00013F53"/>
    <w:rsid w:val="000146F7"/>
    <w:rsid w:val="0001540B"/>
    <w:rsid w:val="00015E62"/>
    <w:rsid w:val="00016176"/>
    <w:rsid w:val="000171E8"/>
    <w:rsid w:val="00020537"/>
    <w:rsid w:val="00020887"/>
    <w:rsid w:val="000217A0"/>
    <w:rsid w:val="00021BF9"/>
    <w:rsid w:val="0002330E"/>
    <w:rsid w:val="000247CE"/>
    <w:rsid w:val="000260E6"/>
    <w:rsid w:val="0002633B"/>
    <w:rsid w:val="00026CF1"/>
    <w:rsid w:val="000277B4"/>
    <w:rsid w:val="00027C1C"/>
    <w:rsid w:val="000302AD"/>
    <w:rsid w:val="00030342"/>
    <w:rsid w:val="000312DF"/>
    <w:rsid w:val="00031488"/>
    <w:rsid w:val="0003336E"/>
    <w:rsid w:val="0003458A"/>
    <w:rsid w:val="000348D2"/>
    <w:rsid w:val="00034B93"/>
    <w:rsid w:val="0003556B"/>
    <w:rsid w:val="00035672"/>
    <w:rsid w:val="000361BC"/>
    <w:rsid w:val="000379D1"/>
    <w:rsid w:val="00040E8E"/>
    <w:rsid w:val="00040F35"/>
    <w:rsid w:val="0004167F"/>
    <w:rsid w:val="00041860"/>
    <w:rsid w:val="000418E2"/>
    <w:rsid w:val="00041B6E"/>
    <w:rsid w:val="00042615"/>
    <w:rsid w:val="0004290C"/>
    <w:rsid w:val="00042F70"/>
    <w:rsid w:val="0004313B"/>
    <w:rsid w:val="00043161"/>
    <w:rsid w:val="00043840"/>
    <w:rsid w:val="00043C9D"/>
    <w:rsid w:val="00044444"/>
    <w:rsid w:val="0004485F"/>
    <w:rsid w:val="00044BEB"/>
    <w:rsid w:val="00045373"/>
    <w:rsid w:val="00047684"/>
    <w:rsid w:val="000477D9"/>
    <w:rsid w:val="00047C16"/>
    <w:rsid w:val="00047C8D"/>
    <w:rsid w:val="00050055"/>
    <w:rsid w:val="00050663"/>
    <w:rsid w:val="0005101E"/>
    <w:rsid w:val="000519AD"/>
    <w:rsid w:val="00053BB5"/>
    <w:rsid w:val="00053E44"/>
    <w:rsid w:val="00054171"/>
    <w:rsid w:val="00055594"/>
    <w:rsid w:val="000557BF"/>
    <w:rsid w:val="0005592F"/>
    <w:rsid w:val="000563BD"/>
    <w:rsid w:val="00056D2C"/>
    <w:rsid w:val="00056EF9"/>
    <w:rsid w:val="000577E0"/>
    <w:rsid w:val="000578E9"/>
    <w:rsid w:val="000602B4"/>
    <w:rsid w:val="00060629"/>
    <w:rsid w:val="00060E3D"/>
    <w:rsid w:val="0006108A"/>
    <w:rsid w:val="00061204"/>
    <w:rsid w:val="000613DF"/>
    <w:rsid w:val="000618C5"/>
    <w:rsid w:val="0006200E"/>
    <w:rsid w:val="0006206A"/>
    <w:rsid w:val="00062B4E"/>
    <w:rsid w:val="00063185"/>
    <w:rsid w:val="00063324"/>
    <w:rsid w:val="00063865"/>
    <w:rsid w:val="000647A7"/>
    <w:rsid w:val="00064C1B"/>
    <w:rsid w:val="00064C79"/>
    <w:rsid w:val="00066E0B"/>
    <w:rsid w:val="00066EE4"/>
    <w:rsid w:val="00067686"/>
    <w:rsid w:val="00070139"/>
    <w:rsid w:val="00070147"/>
    <w:rsid w:val="00070DFD"/>
    <w:rsid w:val="00071B73"/>
    <w:rsid w:val="00071BFE"/>
    <w:rsid w:val="0007270E"/>
    <w:rsid w:val="00073345"/>
    <w:rsid w:val="0007366B"/>
    <w:rsid w:val="00073DA0"/>
    <w:rsid w:val="00073FCD"/>
    <w:rsid w:val="0007604E"/>
    <w:rsid w:val="000777D7"/>
    <w:rsid w:val="00077F54"/>
    <w:rsid w:val="00080116"/>
    <w:rsid w:val="00081B6B"/>
    <w:rsid w:val="00081C22"/>
    <w:rsid w:val="00081DB5"/>
    <w:rsid w:val="00082090"/>
    <w:rsid w:val="0008222E"/>
    <w:rsid w:val="000824D7"/>
    <w:rsid w:val="0008291A"/>
    <w:rsid w:val="00082D26"/>
    <w:rsid w:val="000838C2"/>
    <w:rsid w:val="0008394E"/>
    <w:rsid w:val="00083A2A"/>
    <w:rsid w:val="00083D90"/>
    <w:rsid w:val="00083F88"/>
    <w:rsid w:val="000845C2"/>
    <w:rsid w:val="00084691"/>
    <w:rsid w:val="00084C04"/>
    <w:rsid w:val="00084F28"/>
    <w:rsid w:val="000867D3"/>
    <w:rsid w:val="00086CA4"/>
    <w:rsid w:val="00086D6E"/>
    <w:rsid w:val="00087958"/>
    <w:rsid w:val="00087CB5"/>
    <w:rsid w:val="00087CCF"/>
    <w:rsid w:val="00087F8C"/>
    <w:rsid w:val="000910D8"/>
    <w:rsid w:val="000913F3"/>
    <w:rsid w:val="0009195E"/>
    <w:rsid w:val="00091D0B"/>
    <w:rsid w:val="00094A62"/>
    <w:rsid w:val="00094B08"/>
    <w:rsid w:val="00095143"/>
    <w:rsid w:val="00095CD0"/>
    <w:rsid w:val="00095EC2"/>
    <w:rsid w:val="000964A6"/>
    <w:rsid w:val="0009653A"/>
    <w:rsid w:val="00097A47"/>
    <w:rsid w:val="00097F7C"/>
    <w:rsid w:val="000A08BF"/>
    <w:rsid w:val="000A0CA7"/>
    <w:rsid w:val="000A1ECF"/>
    <w:rsid w:val="000A261D"/>
    <w:rsid w:val="000A28A9"/>
    <w:rsid w:val="000A2AE5"/>
    <w:rsid w:val="000A3E37"/>
    <w:rsid w:val="000A4202"/>
    <w:rsid w:val="000A5AF7"/>
    <w:rsid w:val="000A63F4"/>
    <w:rsid w:val="000A6961"/>
    <w:rsid w:val="000A7034"/>
    <w:rsid w:val="000A7582"/>
    <w:rsid w:val="000A7C52"/>
    <w:rsid w:val="000B0AB7"/>
    <w:rsid w:val="000B0FCD"/>
    <w:rsid w:val="000B10F3"/>
    <w:rsid w:val="000B133A"/>
    <w:rsid w:val="000B239B"/>
    <w:rsid w:val="000B2C54"/>
    <w:rsid w:val="000B33B2"/>
    <w:rsid w:val="000B3BE1"/>
    <w:rsid w:val="000B4024"/>
    <w:rsid w:val="000B62AC"/>
    <w:rsid w:val="000B6CE5"/>
    <w:rsid w:val="000B6D09"/>
    <w:rsid w:val="000B7480"/>
    <w:rsid w:val="000B7809"/>
    <w:rsid w:val="000C008D"/>
    <w:rsid w:val="000C0C88"/>
    <w:rsid w:val="000C1B70"/>
    <w:rsid w:val="000C394A"/>
    <w:rsid w:val="000C4391"/>
    <w:rsid w:val="000C48EA"/>
    <w:rsid w:val="000C5F93"/>
    <w:rsid w:val="000C6DED"/>
    <w:rsid w:val="000D0D16"/>
    <w:rsid w:val="000D0F77"/>
    <w:rsid w:val="000D159A"/>
    <w:rsid w:val="000D1A70"/>
    <w:rsid w:val="000D2731"/>
    <w:rsid w:val="000D2A68"/>
    <w:rsid w:val="000D3D40"/>
    <w:rsid w:val="000D50A8"/>
    <w:rsid w:val="000D542F"/>
    <w:rsid w:val="000D6C91"/>
    <w:rsid w:val="000D7303"/>
    <w:rsid w:val="000D7A23"/>
    <w:rsid w:val="000D7AC7"/>
    <w:rsid w:val="000D7F27"/>
    <w:rsid w:val="000E040D"/>
    <w:rsid w:val="000E0E5E"/>
    <w:rsid w:val="000E0E8F"/>
    <w:rsid w:val="000E0EB6"/>
    <w:rsid w:val="000E1C26"/>
    <w:rsid w:val="000E239D"/>
    <w:rsid w:val="000E2E06"/>
    <w:rsid w:val="000E4217"/>
    <w:rsid w:val="000E5438"/>
    <w:rsid w:val="000E5CD3"/>
    <w:rsid w:val="000E6F51"/>
    <w:rsid w:val="000F01F2"/>
    <w:rsid w:val="000F0BE3"/>
    <w:rsid w:val="000F1704"/>
    <w:rsid w:val="000F2334"/>
    <w:rsid w:val="000F303F"/>
    <w:rsid w:val="000F37C3"/>
    <w:rsid w:val="000F3A44"/>
    <w:rsid w:val="000F42E6"/>
    <w:rsid w:val="000F5464"/>
    <w:rsid w:val="000F5547"/>
    <w:rsid w:val="000F55DB"/>
    <w:rsid w:val="000F564E"/>
    <w:rsid w:val="000F5AD0"/>
    <w:rsid w:val="000F5ADD"/>
    <w:rsid w:val="000F5B08"/>
    <w:rsid w:val="000F5DCE"/>
    <w:rsid w:val="000F6453"/>
    <w:rsid w:val="00100FC1"/>
    <w:rsid w:val="001046BC"/>
    <w:rsid w:val="001049A3"/>
    <w:rsid w:val="00104B9B"/>
    <w:rsid w:val="00105A00"/>
    <w:rsid w:val="00105F42"/>
    <w:rsid w:val="00106425"/>
    <w:rsid w:val="0010656D"/>
    <w:rsid w:val="0010668B"/>
    <w:rsid w:val="00106CBD"/>
    <w:rsid w:val="00107A5B"/>
    <w:rsid w:val="00107BFB"/>
    <w:rsid w:val="00110046"/>
    <w:rsid w:val="00110568"/>
    <w:rsid w:val="001108B8"/>
    <w:rsid w:val="00110F15"/>
    <w:rsid w:val="00110FD3"/>
    <w:rsid w:val="001112C8"/>
    <w:rsid w:val="00111B19"/>
    <w:rsid w:val="00111CB2"/>
    <w:rsid w:val="001120EE"/>
    <w:rsid w:val="0011233D"/>
    <w:rsid w:val="0011257C"/>
    <w:rsid w:val="00113330"/>
    <w:rsid w:val="00115060"/>
    <w:rsid w:val="00115619"/>
    <w:rsid w:val="0011605D"/>
    <w:rsid w:val="00116E30"/>
    <w:rsid w:val="00120568"/>
    <w:rsid w:val="001208F8"/>
    <w:rsid w:val="00124549"/>
    <w:rsid w:val="00124B2D"/>
    <w:rsid w:val="00127B0A"/>
    <w:rsid w:val="00127CB5"/>
    <w:rsid w:val="0013158E"/>
    <w:rsid w:val="00131A57"/>
    <w:rsid w:val="00131AD2"/>
    <w:rsid w:val="00132276"/>
    <w:rsid w:val="00134E48"/>
    <w:rsid w:val="00134FA1"/>
    <w:rsid w:val="0013532F"/>
    <w:rsid w:val="00135565"/>
    <w:rsid w:val="00135B8E"/>
    <w:rsid w:val="00135C2D"/>
    <w:rsid w:val="001368F3"/>
    <w:rsid w:val="00137113"/>
    <w:rsid w:val="001372F6"/>
    <w:rsid w:val="0013769B"/>
    <w:rsid w:val="00140067"/>
    <w:rsid w:val="00140249"/>
    <w:rsid w:val="001408C5"/>
    <w:rsid w:val="00140BB7"/>
    <w:rsid w:val="00141375"/>
    <w:rsid w:val="00141623"/>
    <w:rsid w:val="001417B3"/>
    <w:rsid w:val="00142A1C"/>
    <w:rsid w:val="001437E9"/>
    <w:rsid w:val="0014386D"/>
    <w:rsid w:val="00143AFF"/>
    <w:rsid w:val="00143BC8"/>
    <w:rsid w:val="00144F26"/>
    <w:rsid w:val="0014509E"/>
    <w:rsid w:val="00145A25"/>
    <w:rsid w:val="00146505"/>
    <w:rsid w:val="0014717E"/>
    <w:rsid w:val="0014770C"/>
    <w:rsid w:val="00150492"/>
    <w:rsid w:val="00150EC3"/>
    <w:rsid w:val="00152310"/>
    <w:rsid w:val="0015240C"/>
    <w:rsid w:val="00153307"/>
    <w:rsid w:val="00154277"/>
    <w:rsid w:val="001556B4"/>
    <w:rsid w:val="0015576F"/>
    <w:rsid w:val="00155F25"/>
    <w:rsid w:val="00156275"/>
    <w:rsid w:val="001572BB"/>
    <w:rsid w:val="00161B4B"/>
    <w:rsid w:val="00161DD5"/>
    <w:rsid w:val="00161F4B"/>
    <w:rsid w:val="0016307D"/>
    <w:rsid w:val="00163697"/>
    <w:rsid w:val="00164631"/>
    <w:rsid w:val="00164977"/>
    <w:rsid w:val="00164998"/>
    <w:rsid w:val="00164EC5"/>
    <w:rsid w:val="001651B1"/>
    <w:rsid w:val="001660FB"/>
    <w:rsid w:val="00166A6D"/>
    <w:rsid w:val="00167688"/>
    <w:rsid w:val="00167895"/>
    <w:rsid w:val="0017037E"/>
    <w:rsid w:val="001705B9"/>
    <w:rsid w:val="00172C7C"/>
    <w:rsid w:val="001735C4"/>
    <w:rsid w:val="00174804"/>
    <w:rsid w:val="00174D0B"/>
    <w:rsid w:val="00174DFC"/>
    <w:rsid w:val="0017512E"/>
    <w:rsid w:val="0017590B"/>
    <w:rsid w:val="00176388"/>
    <w:rsid w:val="00176876"/>
    <w:rsid w:val="001769C5"/>
    <w:rsid w:val="001808A9"/>
    <w:rsid w:val="0018131C"/>
    <w:rsid w:val="0018291C"/>
    <w:rsid w:val="00182B8D"/>
    <w:rsid w:val="00182C9A"/>
    <w:rsid w:val="001837DB"/>
    <w:rsid w:val="00183ADD"/>
    <w:rsid w:val="00186539"/>
    <w:rsid w:val="00186745"/>
    <w:rsid w:val="001879DF"/>
    <w:rsid w:val="001906E4"/>
    <w:rsid w:val="00190B0E"/>
    <w:rsid w:val="00191309"/>
    <w:rsid w:val="0019230B"/>
    <w:rsid w:val="00193535"/>
    <w:rsid w:val="001943CC"/>
    <w:rsid w:val="001946DE"/>
    <w:rsid w:val="00194904"/>
    <w:rsid w:val="00195991"/>
    <w:rsid w:val="00196091"/>
    <w:rsid w:val="00196B08"/>
    <w:rsid w:val="001A000B"/>
    <w:rsid w:val="001A19B3"/>
    <w:rsid w:val="001A22F6"/>
    <w:rsid w:val="001A2F47"/>
    <w:rsid w:val="001A2FB0"/>
    <w:rsid w:val="001A37CC"/>
    <w:rsid w:val="001A38A4"/>
    <w:rsid w:val="001A3FAD"/>
    <w:rsid w:val="001A4B04"/>
    <w:rsid w:val="001A62FA"/>
    <w:rsid w:val="001A6DDB"/>
    <w:rsid w:val="001A6E7E"/>
    <w:rsid w:val="001A7AE6"/>
    <w:rsid w:val="001A7DD4"/>
    <w:rsid w:val="001B01E4"/>
    <w:rsid w:val="001B0B1E"/>
    <w:rsid w:val="001B10D0"/>
    <w:rsid w:val="001B11FF"/>
    <w:rsid w:val="001B1A8E"/>
    <w:rsid w:val="001B1D5F"/>
    <w:rsid w:val="001B1F93"/>
    <w:rsid w:val="001B2002"/>
    <w:rsid w:val="001B2690"/>
    <w:rsid w:val="001B2818"/>
    <w:rsid w:val="001B2AF2"/>
    <w:rsid w:val="001B2F65"/>
    <w:rsid w:val="001B300B"/>
    <w:rsid w:val="001B30BF"/>
    <w:rsid w:val="001B4720"/>
    <w:rsid w:val="001B4CF9"/>
    <w:rsid w:val="001B584A"/>
    <w:rsid w:val="001B5B1F"/>
    <w:rsid w:val="001B631E"/>
    <w:rsid w:val="001B6A87"/>
    <w:rsid w:val="001B6C8C"/>
    <w:rsid w:val="001B7687"/>
    <w:rsid w:val="001B7DAC"/>
    <w:rsid w:val="001C0155"/>
    <w:rsid w:val="001C09C5"/>
    <w:rsid w:val="001C227E"/>
    <w:rsid w:val="001C3DA4"/>
    <w:rsid w:val="001C402B"/>
    <w:rsid w:val="001C4201"/>
    <w:rsid w:val="001C438E"/>
    <w:rsid w:val="001C43FD"/>
    <w:rsid w:val="001C6030"/>
    <w:rsid w:val="001C6698"/>
    <w:rsid w:val="001C6C33"/>
    <w:rsid w:val="001C7048"/>
    <w:rsid w:val="001C7495"/>
    <w:rsid w:val="001C76CF"/>
    <w:rsid w:val="001D1330"/>
    <w:rsid w:val="001D21CA"/>
    <w:rsid w:val="001D271C"/>
    <w:rsid w:val="001D2725"/>
    <w:rsid w:val="001D4FE2"/>
    <w:rsid w:val="001D5F78"/>
    <w:rsid w:val="001D628A"/>
    <w:rsid w:val="001D6D0E"/>
    <w:rsid w:val="001D75A0"/>
    <w:rsid w:val="001D7A56"/>
    <w:rsid w:val="001E1272"/>
    <w:rsid w:val="001E3EAC"/>
    <w:rsid w:val="001E3FFB"/>
    <w:rsid w:val="001E4522"/>
    <w:rsid w:val="001E585E"/>
    <w:rsid w:val="001F08CB"/>
    <w:rsid w:val="001F0DD7"/>
    <w:rsid w:val="001F0EB1"/>
    <w:rsid w:val="001F14D9"/>
    <w:rsid w:val="001F15F8"/>
    <w:rsid w:val="001F1663"/>
    <w:rsid w:val="001F1F28"/>
    <w:rsid w:val="001F1F4C"/>
    <w:rsid w:val="001F3D74"/>
    <w:rsid w:val="001F49E0"/>
    <w:rsid w:val="001F52E9"/>
    <w:rsid w:val="001F5687"/>
    <w:rsid w:val="001F7870"/>
    <w:rsid w:val="001F7EFE"/>
    <w:rsid w:val="002002E9"/>
    <w:rsid w:val="00200770"/>
    <w:rsid w:val="00201120"/>
    <w:rsid w:val="00202494"/>
    <w:rsid w:val="00202655"/>
    <w:rsid w:val="00202702"/>
    <w:rsid w:val="00202C84"/>
    <w:rsid w:val="002032AB"/>
    <w:rsid w:val="002036E5"/>
    <w:rsid w:val="00204511"/>
    <w:rsid w:val="00204AF7"/>
    <w:rsid w:val="0020577A"/>
    <w:rsid w:val="002071A5"/>
    <w:rsid w:val="00207A11"/>
    <w:rsid w:val="002117C2"/>
    <w:rsid w:val="00212290"/>
    <w:rsid w:val="0021233D"/>
    <w:rsid w:val="002128E9"/>
    <w:rsid w:val="00213340"/>
    <w:rsid w:val="0021376F"/>
    <w:rsid w:val="00213EEC"/>
    <w:rsid w:val="002144F1"/>
    <w:rsid w:val="002148BC"/>
    <w:rsid w:val="00214F20"/>
    <w:rsid w:val="0021513D"/>
    <w:rsid w:val="0021539E"/>
    <w:rsid w:val="00216F74"/>
    <w:rsid w:val="00217C9C"/>
    <w:rsid w:val="00220707"/>
    <w:rsid w:val="0022219E"/>
    <w:rsid w:val="002229C2"/>
    <w:rsid w:val="00222F23"/>
    <w:rsid w:val="002235E9"/>
    <w:rsid w:val="002246ED"/>
    <w:rsid w:val="0023072E"/>
    <w:rsid w:val="00231F46"/>
    <w:rsid w:val="00232524"/>
    <w:rsid w:val="00232A63"/>
    <w:rsid w:val="00232C70"/>
    <w:rsid w:val="00234965"/>
    <w:rsid w:val="00234AEB"/>
    <w:rsid w:val="0023582F"/>
    <w:rsid w:val="00236772"/>
    <w:rsid w:val="00236D28"/>
    <w:rsid w:val="0023768A"/>
    <w:rsid w:val="00241366"/>
    <w:rsid w:val="00241592"/>
    <w:rsid w:val="00241C42"/>
    <w:rsid w:val="00242E9F"/>
    <w:rsid w:val="002435A3"/>
    <w:rsid w:val="002458E2"/>
    <w:rsid w:val="00245B14"/>
    <w:rsid w:val="00245C0C"/>
    <w:rsid w:val="00245DC6"/>
    <w:rsid w:val="00247336"/>
    <w:rsid w:val="0025288C"/>
    <w:rsid w:val="00252FAF"/>
    <w:rsid w:val="00253523"/>
    <w:rsid w:val="00253841"/>
    <w:rsid w:val="00253AB4"/>
    <w:rsid w:val="00253C23"/>
    <w:rsid w:val="00253DFF"/>
    <w:rsid w:val="00254379"/>
    <w:rsid w:val="00254658"/>
    <w:rsid w:val="00255D75"/>
    <w:rsid w:val="00256675"/>
    <w:rsid w:val="0025708B"/>
    <w:rsid w:val="00261357"/>
    <w:rsid w:val="00261A3A"/>
    <w:rsid w:val="002622D4"/>
    <w:rsid w:val="002640F7"/>
    <w:rsid w:val="002659C0"/>
    <w:rsid w:val="00266716"/>
    <w:rsid w:val="002708C5"/>
    <w:rsid w:val="002708C9"/>
    <w:rsid w:val="002709F9"/>
    <w:rsid w:val="002712C1"/>
    <w:rsid w:val="00272674"/>
    <w:rsid w:val="002727B7"/>
    <w:rsid w:val="00273179"/>
    <w:rsid w:val="00273A4B"/>
    <w:rsid w:val="00275794"/>
    <w:rsid w:val="0027586C"/>
    <w:rsid w:val="00275F1B"/>
    <w:rsid w:val="00275F23"/>
    <w:rsid w:val="0027616B"/>
    <w:rsid w:val="002772CA"/>
    <w:rsid w:val="00277562"/>
    <w:rsid w:val="0028069E"/>
    <w:rsid w:val="00280B71"/>
    <w:rsid w:val="00281610"/>
    <w:rsid w:val="00282C3B"/>
    <w:rsid w:val="00282D0B"/>
    <w:rsid w:val="00283D4A"/>
    <w:rsid w:val="00285048"/>
    <w:rsid w:val="00285433"/>
    <w:rsid w:val="00285B04"/>
    <w:rsid w:val="00286113"/>
    <w:rsid w:val="002878A7"/>
    <w:rsid w:val="00287F76"/>
    <w:rsid w:val="002900AD"/>
    <w:rsid w:val="00290136"/>
    <w:rsid w:val="002902A2"/>
    <w:rsid w:val="002904DE"/>
    <w:rsid w:val="00291064"/>
    <w:rsid w:val="002912C7"/>
    <w:rsid w:val="002922FC"/>
    <w:rsid w:val="0029260F"/>
    <w:rsid w:val="00292B63"/>
    <w:rsid w:val="00292B9B"/>
    <w:rsid w:val="00292ECE"/>
    <w:rsid w:val="00292ED9"/>
    <w:rsid w:val="00293622"/>
    <w:rsid w:val="002945D2"/>
    <w:rsid w:val="00294D67"/>
    <w:rsid w:val="00295B9E"/>
    <w:rsid w:val="00296E9C"/>
    <w:rsid w:val="002A03A3"/>
    <w:rsid w:val="002A131F"/>
    <w:rsid w:val="002A1CA2"/>
    <w:rsid w:val="002A1E30"/>
    <w:rsid w:val="002A299D"/>
    <w:rsid w:val="002A33AD"/>
    <w:rsid w:val="002A4823"/>
    <w:rsid w:val="002A5E77"/>
    <w:rsid w:val="002A6669"/>
    <w:rsid w:val="002A7267"/>
    <w:rsid w:val="002A795D"/>
    <w:rsid w:val="002B007C"/>
    <w:rsid w:val="002B0C0F"/>
    <w:rsid w:val="002B0DBC"/>
    <w:rsid w:val="002B1786"/>
    <w:rsid w:val="002B3151"/>
    <w:rsid w:val="002B36A7"/>
    <w:rsid w:val="002B399B"/>
    <w:rsid w:val="002B3A8C"/>
    <w:rsid w:val="002B41DC"/>
    <w:rsid w:val="002B4814"/>
    <w:rsid w:val="002B4B24"/>
    <w:rsid w:val="002B4C11"/>
    <w:rsid w:val="002B5693"/>
    <w:rsid w:val="002B56EE"/>
    <w:rsid w:val="002B5A00"/>
    <w:rsid w:val="002B5BF3"/>
    <w:rsid w:val="002B7BAA"/>
    <w:rsid w:val="002C02F3"/>
    <w:rsid w:val="002C0678"/>
    <w:rsid w:val="002C0FC6"/>
    <w:rsid w:val="002C1DA2"/>
    <w:rsid w:val="002C2A42"/>
    <w:rsid w:val="002C2C4D"/>
    <w:rsid w:val="002C482B"/>
    <w:rsid w:val="002C4EC0"/>
    <w:rsid w:val="002C6377"/>
    <w:rsid w:val="002D0AC5"/>
    <w:rsid w:val="002D0C53"/>
    <w:rsid w:val="002D155F"/>
    <w:rsid w:val="002D1D43"/>
    <w:rsid w:val="002D2379"/>
    <w:rsid w:val="002D2498"/>
    <w:rsid w:val="002D2B5A"/>
    <w:rsid w:val="002D3913"/>
    <w:rsid w:val="002D46A3"/>
    <w:rsid w:val="002D473D"/>
    <w:rsid w:val="002D4830"/>
    <w:rsid w:val="002D540A"/>
    <w:rsid w:val="002D541D"/>
    <w:rsid w:val="002D5DFC"/>
    <w:rsid w:val="002D5F9D"/>
    <w:rsid w:val="002D6070"/>
    <w:rsid w:val="002D64CE"/>
    <w:rsid w:val="002D6630"/>
    <w:rsid w:val="002D680A"/>
    <w:rsid w:val="002E085A"/>
    <w:rsid w:val="002E0944"/>
    <w:rsid w:val="002E0A89"/>
    <w:rsid w:val="002E0EAE"/>
    <w:rsid w:val="002E109E"/>
    <w:rsid w:val="002E1A43"/>
    <w:rsid w:val="002E1E74"/>
    <w:rsid w:val="002E274F"/>
    <w:rsid w:val="002E338B"/>
    <w:rsid w:val="002E3C9A"/>
    <w:rsid w:val="002E4D5D"/>
    <w:rsid w:val="002E64BE"/>
    <w:rsid w:val="002E69CF"/>
    <w:rsid w:val="002E6D82"/>
    <w:rsid w:val="002E6DF0"/>
    <w:rsid w:val="002E701A"/>
    <w:rsid w:val="002F052F"/>
    <w:rsid w:val="002F25DC"/>
    <w:rsid w:val="002F2D0C"/>
    <w:rsid w:val="002F2D9C"/>
    <w:rsid w:val="002F2EB2"/>
    <w:rsid w:val="002F37C3"/>
    <w:rsid w:val="002F3EB6"/>
    <w:rsid w:val="002F434A"/>
    <w:rsid w:val="002F4CF5"/>
    <w:rsid w:val="002F6713"/>
    <w:rsid w:val="002F6DBA"/>
    <w:rsid w:val="002F78F3"/>
    <w:rsid w:val="002F795A"/>
    <w:rsid w:val="0030089B"/>
    <w:rsid w:val="00300A56"/>
    <w:rsid w:val="003021AC"/>
    <w:rsid w:val="00303258"/>
    <w:rsid w:val="00303ED3"/>
    <w:rsid w:val="003046DB"/>
    <w:rsid w:val="00304FCE"/>
    <w:rsid w:val="00306354"/>
    <w:rsid w:val="00306416"/>
    <w:rsid w:val="003069D5"/>
    <w:rsid w:val="003105A2"/>
    <w:rsid w:val="00311170"/>
    <w:rsid w:val="00311980"/>
    <w:rsid w:val="00311E8F"/>
    <w:rsid w:val="00312041"/>
    <w:rsid w:val="00312953"/>
    <w:rsid w:val="00313AB3"/>
    <w:rsid w:val="00314136"/>
    <w:rsid w:val="00315A10"/>
    <w:rsid w:val="00315B60"/>
    <w:rsid w:val="00315DC3"/>
    <w:rsid w:val="00316872"/>
    <w:rsid w:val="003174CF"/>
    <w:rsid w:val="00317979"/>
    <w:rsid w:val="00317A5F"/>
    <w:rsid w:val="0032064B"/>
    <w:rsid w:val="003212F5"/>
    <w:rsid w:val="00321750"/>
    <w:rsid w:val="00321771"/>
    <w:rsid w:val="00322610"/>
    <w:rsid w:val="0032505E"/>
    <w:rsid w:val="003251F5"/>
    <w:rsid w:val="0032559B"/>
    <w:rsid w:val="0032592C"/>
    <w:rsid w:val="0032595C"/>
    <w:rsid w:val="00325B5E"/>
    <w:rsid w:val="00325EE3"/>
    <w:rsid w:val="00332818"/>
    <w:rsid w:val="0033448B"/>
    <w:rsid w:val="003349B3"/>
    <w:rsid w:val="00335495"/>
    <w:rsid w:val="00335B4A"/>
    <w:rsid w:val="00340DCD"/>
    <w:rsid w:val="00341055"/>
    <w:rsid w:val="003417B8"/>
    <w:rsid w:val="003426A9"/>
    <w:rsid w:val="00343319"/>
    <w:rsid w:val="00343D06"/>
    <w:rsid w:val="003442F1"/>
    <w:rsid w:val="00344F62"/>
    <w:rsid w:val="003470D1"/>
    <w:rsid w:val="00350835"/>
    <w:rsid w:val="00350886"/>
    <w:rsid w:val="00351E65"/>
    <w:rsid w:val="003523A6"/>
    <w:rsid w:val="003527BA"/>
    <w:rsid w:val="003536C1"/>
    <w:rsid w:val="0035384F"/>
    <w:rsid w:val="00353F63"/>
    <w:rsid w:val="00353FF4"/>
    <w:rsid w:val="0035420C"/>
    <w:rsid w:val="00354B37"/>
    <w:rsid w:val="00354E5A"/>
    <w:rsid w:val="00355B16"/>
    <w:rsid w:val="00356B62"/>
    <w:rsid w:val="003573C8"/>
    <w:rsid w:val="00357A68"/>
    <w:rsid w:val="00360672"/>
    <w:rsid w:val="0036088D"/>
    <w:rsid w:val="00361D49"/>
    <w:rsid w:val="00361EBB"/>
    <w:rsid w:val="003620A3"/>
    <w:rsid w:val="0036215B"/>
    <w:rsid w:val="0036236E"/>
    <w:rsid w:val="00362473"/>
    <w:rsid w:val="00363F5E"/>
    <w:rsid w:val="003647FD"/>
    <w:rsid w:val="003657F1"/>
    <w:rsid w:val="00367137"/>
    <w:rsid w:val="00370DEA"/>
    <w:rsid w:val="00370E7A"/>
    <w:rsid w:val="00371C97"/>
    <w:rsid w:val="00372766"/>
    <w:rsid w:val="00372CBD"/>
    <w:rsid w:val="0037359B"/>
    <w:rsid w:val="00373A74"/>
    <w:rsid w:val="00373E36"/>
    <w:rsid w:val="0037417C"/>
    <w:rsid w:val="0037478F"/>
    <w:rsid w:val="0037617A"/>
    <w:rsid w:val="00376962"/>
    <w:rsid w:val="00376C49"/>
    <w:rsid w:val="003776AB"/>
    <w:rsid w:val="003802B9"/>
    <w:rsid w:val="0038092D"/>
    <w:rsid w:val="003809AF"/>
    <w:rsid w:val="00380C63"/>
    <w:rsid w:val="00380DBC"/>
    <w:rsid w:val="003812F7"/>
    <w:rsid w:val="003815F9"/>
    <w:rsid w:val="00381E54"/>
    <w:rsid w:val="00381F40"/>
    <w:rsid w:val="00382FDC"/>
    <w:rsid w:val="003837E0"/>
    <w:rsid w:val="00386CAD"/>
    <w:rsid w:val="0038797A"/>
    <w:rsid w:val="003904C3"/>
    <w:rsid w:val="003904D5"/>
    <w:rsid w:val="003918B4"/>
    <w:rsid w:val="00391F3A"/>
    <w:rsid w:val="00391F41"/>
    <w:rsid w:val="0039216B"/>
    <w:rsid w:val="003921F8"/>
    <w:rsid w:val="00392A9A"/>
    <w:rsid w:val="00393DC2"/>
    <w:rsid w:val="00394B54"/>
    <w:rsid w:val="00394FDC"/>
    <w:rsid w:val="003950F2"/>
    <w:rsid w:val="0039549B"/>
    <w:rsid w:val="0039581C"/>
    <w:rsid w:val="00395A79"/>
    <w:rsid w:val="003972BB"/>
    <w:rsid w:val="003A06B0"/>
    <w:rsid w:val="003A0777"/>
    <w:rsid w:val="003A167F"/>
    <w:rsid w:val="003A308F"/>
    <w:rsid w:val="003A41EE"/>
    <w:rsid w:val="003A4D89"/>
    <w:rsid w:val="003A55BB"/>
    <w:rsid w:val="003A57CE"/>
    <w:rsid w:val="003A64F1"/>
    <w:rsid w:val="003A6CA4"/>
    <w:rsid w:val="003A72B1"/>
    <w:rsid w:val="003A7CF8"/>
    <w:rsid w:val="003B14C8"/>
    <w:rsid w:val="003B1FF2"/>
    <w:rsid w:val="003B2437"/>
    <w:rsid w:val="003B2599"/>
    <w:rsid w:val="003B2D14"/>
    <w:rsid w:val="003B3B45"/>
    <w:rsid w:val="003B415F"/>
    <w:rsid w:val="003B4B5A"/>
    <w:rsid w:val="003B4BC6"/>
    <w:rsid w:val="003B4F96"/>
    <w:rsid w:val="003B564C"/>
    <w:rsid w:val="003B5B8A"/>
    <w:rsid w:val="003B5BAE"/>
    <w:rsid w:val="003B6179"/>
    <w:rsid w:val="003B6534"/>
    <w:rsid w:val="003B6613"/>
    <w:rsid w:val="003B675F"/>
    <w:rsid w:val="003B6A7D"/>
    <w:rsid w:val="003B6C27"/>
    <w:rsid w:val="003C1EB5"/>
    <w:rsid w:val="003C2DF0"/>
    <w:rsid w:val="003C32E0"/>
    <w:rsid w:val="003C50DD"/>
    <w:rsid w:val="003C52B7"/>
    <w:rsid w:val="003C6014"/>
    <w:rsid w:val="003C64B0"/>
    <w:rsid w:val="003C6BE1"/>
    <w:rsid w:val="003C72C1"/>
    <w:rsid w:val="003D0FA0"/>
    <w:rsid w:val="003D11AC"/>
    <w:rsid w:val="003D23A9"/>
    <w:rsid w:val="003D25AE"/>
    <w:rsid w:val="003D26CE"/>
    <w:rsid w:val="003D273F"/>
    <w:rsid w:val="003D28A0"/>
    <w:rsid w:val="003D3568"/>
    <w:rsid w:val="003D3905"/>
    <w:rsid w:val="003D3ED6"/>
    <w:rsid w:val="003D3F8E"/>
    <w:rsid w:val="003D4CEE"/>
    <w:rsid w:val="003D528A"/>
    <w:rsid w:val="003D6CB8"/>
    <w:rsid w:val="003E0155"/>
    <w:rsid w:val="003E0288"/>
    <w:rsid w:val="003E0BE4"/>
    <w:rsid w:val="003E1371"/>
    <w:rsid w:val="003E19C1"/>
    <w:rsid w:val="003E1CE9"/>
    <w:rsid w:val="003E226A"/>
    <w:rsid w:val="003E25F9"/>
    <w:rsid w:val="003E3EE9"/>
    <w:rsid w:val="003E445D"/>
    <w:rsid w:val="003E54D6"/>
    <w:rsid w:val="003E587E"/>
    <w:rsid w:val="003E602A"/>
    <w:rsid w:val="003E6391"/>
    <w:rsid w:val="003E7442"/>
    <w:rsid w:val="003E7A04"/>
    <w:rsid w:val="003F002D"/>
    <w:rsid w:val="003F12EC"/>
    <w:rsid w:val="003F21D1"/>
    <w:rsid w:val="003F2663"/>
    <w:rsid w:val="003F2C67"/>
    <w:rsid w:val="003F3490"/>
    <w:rsid w:val="003F4EE1"/>
    <w:rsid w:val="003F5C3E"/>
    <w:rsid w:val="003F5E6E"/>
    <w:rsid w:val="003F61DA"/>
    <w:rsid w:val="003F6829"/>
    <w:rsid w:val="003F7D14"/>
    <w:rsid w:val="0040124C"/>
    <w:rsid w:val="00401532"/>
    <w:rsid w:val="00402310"/>
    <w:rsid w:val="00402400"/>
    <w:rsid w:val="0040264A"/>
    <w:rsid w:val="00402735"/>
    <w:rsid w:val="004032DF"/>
    <w:rsid w:val="00403A89"/>
    <w:rsid w:val="00404C54"/>
    <w:rsid w:val="00406423"/>
    <w:rsid w:val="00407300"/>
    <w:rsid w:val="004079DB"/>
    <w:rsid w:val="00407ACF"/>
    <w:rsid w:val="00407CBA"/>
    <w:rsid w:val="00410125"/>
    <w:rsid w:val="00411163"/>
    <w:rsid w:val="004112A4"/>
    <w:rsid w:val="00411F4A"/>
    <w:rsid w:val="004128AC"/>
    <w:rsid w:val="00412D27"/>
    <w:rsid w:val="004136ED"/>
    <w:rsid w:val="00413F26"/>
    <w:rsid w:val="00414CFA"/>
    <w:rsid w:val="0041547A"/>
    <w:rsid w:val="00415D74"/>
    <w:rsid w:val="00416965"/>
    <w:rsid w:val="00417913"/>
    <w:rsid w:val="00417ACD"/>
    <w:rsid w:val="004210F0"/>
    <w:rsid w:val="0042194C"/>
    <w:rsid w:val="00421DB0"/>
    <w:rsid w:val="00421E9A"/>
    <w:rsid w:val="00422EE8"/>
    <w:rsid w:val="00425129"/>
    <w:rsid w:val="0042561F"/>
    <w:rsid w:val="004265D3"/>
    <w:rsid w:val="00426627"/>
    <w:rsid w:val="00426974"/>
    <w:rsid w:val="0042738E"/>
    <w:rsid w:val="00430A08"/>
    <w:rsid w:val="00430B57"/>
    <w:rsid w:val="004311AB"/>
    <w:rsid w:val="00431659"/>
    <w:rsid w:val="00432090"/>
    <w:rsid w:val="00432754"/>
    <w:rsid w:val="00432E30"/>
    <w:rsid w:val="004330C6"/>
    <w:rsid w:val="00433E7A"/>
    <w:rsid w:val="00434629"/>
    <w:rsid w:val="00435AB9"/>
    <w:rsid w:val="00435DA2"/>
    <w:rsid w:val="004367AB"/>
    <w:rsid w:val="00440859"/>
    <w:rsid w:val="00441161"/>
    <w:rsid w:val="004419A7"/>
    <w:rsid w:val="00441BB5"/>
    <w:rsid w:val="00442021"/>
    <w:rsid w:val="00442AA4"/>
    <w:rsid w:val="00442B39"/>
    <w:rsid w:val="00442C24"/>
    <w:rsid w:val="00443BE8"/>
    <w:rsid w:val="00444031"/>
    <w:rsid w:val="00444C06"/>
    <w:rsid w:val="00445E45"/>
    <w:rsid w:val="00446C21"/>
    <w:rsid w:val="00447C83"/>
    <w:rsid w:val="00450EEC"/>
    <w:rsid w:val="004528B0"/>
    <w:rsid w:val="00452C70"/>
    <w:rsid w:val="00452F40"/>
    <w:rsid w:val="00453574"/>
    <w:rsid w:val="004539FE"/>
    <w:rsid w:val="0045441B"/>
    <w:rsid w:val="00454A71"/>
    <w:rsid w:val="00455740"/>
    <w:rsid w:val="00457629"/>
    <w:rsid w:val="004577DE"/>
    <w:rsid w:val="00457AA1"/>
    <w:rsid w:val="004600DD"/>
    <w:rsid w:val="00461189"/>
    <w:rsid w:val="00461353"/>
    <w:rsid w:val="0046183E"/>
    <w:rsid w:val="00461E8F"/>
    <w:rsid w:val="004621E2"/>
    <w:rsid w:val="004625A1"/>
    <w:rsid w:val="00465099"/>
    <w:rsid w:val="004655CC"/>
    <w:rsid w:val="00466187"/>
    <w:rsid w:val="00467E1C"/>
    <w:rsid w:val="00470A10"/>
    <w:rsid w:val="00470E52"/>
    <w:rsid w:val="00470FD7"/>
    <w:rsid w:val="00472C1F"/>
    <w:rsid w:val="00472F8A"/>
    <w:rsid w:val="00473936"/>
    <w:rsid w:val="0047432B"/>
    <w:rsid w:val="0047479B"/>
    <w:rsid w:val="00474A53"/>
    <w:rsid w:val="00474E70"/>
    <w:rsid w:val="0047538F"/>
    <w:rsid w:val="00477386"/>
    <w:rsid w:val="00481195"/>
    <w:rsid w:val="00481744"/>
    <w:rsid w:val="004817F3"/>
    <w:rsid w:val="00481E21"/>
    <w:rsid w:val="00483256"/>
    <w:rsid w:val="00483ABB"/>
    <w:rsid w:val="004858E3"/>
    <w:rsid w:val="00486A1C"/>
    <w:rsid w:val="00486DA9"/>
    <w:rsid w:val="004901F3"/>
    <w:rsid w:val="00490E60"/>
    <w:rsid w:val="00490E8F"/>
    <w:rsid w:val="00491108"/>
    <w:rsid w:val="00491E54"/>
    <w:rsid w:val="00491F68"/>
    <w:rsid w:val="004925D8"/>
    <w:rsid w:val="004935A5"/>
    <w:rsid w:val="004941F2"/>
    <w:rsid w:val="00494E04"/>
    <w:rsid w:val="0049581D"/>
    <w:rsid w:val="00495EA3"/>
    <w:rsid w:val="00495FA3"/>
    <w:rsid w:val="00496A02"/>
    <w:rsid w:val="00497738"/>
    <w:rsid w:val="00497CD9"/>
    <w:rsid w:val="004A021D"/>
    <w:rsid w:val="004A0248"/>
    <w:rsid w:val="004A039C"/>
    <w:rsid w:val="004A08A6"/>
    <w:rsid w:val="004A0EE8"/>
    <w:rsid w:val="004A23E3"/>
    <w:rsid w:val="004A2607"/>
    <w:rsid w:val="004A26C8"/>
    <w:rsid w:val="004A2BC9"/>
    <w:rsid w:val="004A2CA2"/>
    <w:rsid w:val="004A2F8A"/>
    <w:rsid w:val="004A31A6"/>
    <w:rsid w:val="004A3329"/>
    <w:rsid w:val="004A5D8D"/>
    <w:rsid w:val="004A69E2"/>
    <w:rsid w:val="004A7058"/>
    <w:rsid w:val="004A74BB"/>
    <w:rsid w:val="004B0D18"/>
    <w:rsid w:val="004B0DCD"/>
    <w:rsid w:val="004B1030"/>
    <w:rsid w:val="004B24DC"/>
    <w:rsid w:val="004B34D5"/>
    <w:rsid w:val="004B4C3C"/>
    <w:rsid w:val="004B4F8D"/>
    <w:rsid w:val="004B50C0"/>
    <w:rsid w:val="004B5467"/>
    <w:rsid w:val="004B54B2"/>
    <w:rsid w:val="004B5B42"/>
    <w:rsid w:val="004B6CC7"/>
    <w:rsid w:val="004B73C0"/>
    <w:rsid w:val="004B7AA6"/>
    <w:rsid w:val="004C05C3"/>
    <w:rsid w:val="004C1614"/>
    <w:rsid w:val="004C18E2"/>
    <w:rsid w:val="004C2979"/>
    <w:rsid w:val="004C32D0"/>
    <w:rsid w:val="004C33E5"/>
    <w:rsid w:val="004C38E7"/>
    <w:rsid w:val="004C42DF"/>
    <w:rsid w:val="004C4F64"/>
    <w:rsid w:val="004C5A30"/>
    <w:rsid w:val="004C67BD"/>
    <w:rsid w:val="004C693A"/>
    <w:rsid w:val="004C6A4E"/>
    <w:rsid w:val="004C6BB5"/>
    <w:rsid w:val="004C6BC9"/>
    <w:rsid w:val="004C6E0A"/>
    <w:rsid w:val="004C6F8B"/>
    <w:rsid w:val="004C7FD2"/>
    <w:rsid w:val="004D28A6"/>
    <w:rsid w:val="004D4ECC"/>
    <w:rsid w:val="004D67CF"/>
    <w:rsid w:val="004D701A"/>
    <w:rsid w:val="004D735F"/>
    <w:rsid w:val="004D741A"/>
    <w:rsid w:val="004D78C6"/>
    <w:rsid w:val="004D7E51"/>
    <w:rsid w:val="004E0451"/>
    <w:rsid w:val="004E093C"/>
    <w:rsid w:val="004E1549"/>
    <w:rsid w:val="004E2C7E"/>
    <w:rsid w:val="004E337F"/>
    <w:rsid w:val="004E44BC"/>
    <w:rsid w:val="004E5F25"/>
    <w:rsid w:val="004E68E6"/>
    <w:rsid w:val="004E700F"/>
    <w:rsid w:val="004F0E68"/>
    <w:rsid w:val="004F177B"/>
    <w:rsid w:val="004F2202"/>
    <w:rsid w:val="004F297D"/>
    <w:rsid w:val="004F47CC"/>
    <w:rsid w:val="004F6E37"/>
    <w:rsid w:val="0050123D"/>
    <w:rsid w:val="00502808"/>
    <w:rsid w:val="00502B5A"/>
    <w:rsid w:val="00503AB9"/>
    <w:rsid w:val="00503D10"/>
    <w:rsid w:val="00503F21"/>
    <w:rsid w:val="005048A4"/>
    <w:rsid w:val="005056C0"/>
    <w:rsid w:val="005060D3"/>
    <w:rsid w:val="00506500"/>
    <w:rsid w:val="00506EC3"/>
    <w:rsid w:val="005105C3"/>
    <w:rsid w:val="00510604"/>
    <w:rsid w:val="005114BC"/>
    <w:rsid w:val="0051186E"/>
    <w:rsid w:val="005122F9"/>
    <w:rsid w:val="00512498"/>
    <w:rsid w:val="00512716"/>
    <w:rsid w:val="00512C54"/>
    <w:rsid w:val="005135A6"/>
    <w:rsid w:val="005140FC"/>
    <w:rsid w:val="005152A3"/>
    <w:rsid w:val="00515751"/>
    <w:rsid w:val="00515B19"/>
    <w:rsid w:val="00517034"/>
    <w:rsid w:val="0051797C"/>
    <w:rsid w:val="00517EB8"/>
    <w:rsid w:val="0052140E"/>
    <w:rsid w:val="005219F6"/>
    <w:rsid w:val="00522157"/>
    <w:rsid w:val="005223AF"/>
    <w:rsid w:val="0052252E"/>
    <w:rsid w:val="00522D07"/>
    <w:rsid w:val="005236C5"/>
    <w:rsid w:val="00523E12"/>
    <w:rsid w:val="00523E84"/>
    <w:rsid w:val="00523F5A"/>
    <w:rsid w:val="00524117"/>
    <w:rsid w:val="00524615"/>
    <w:rsid w:val="00525140"/>
    <w:rsid w:val="00525932"/>
    <w:rsid w:val="00525F91"/>
    <w:rsid w:val="0052659C"/>
    <w:rsid w:val="00526F47"/>
    <w:rsid w:val="00527804"/>
    <w:rsid w:val="00527914"/>
    <w:rsid w:val="00527B35"/>
    <w:rsid w:val="00527EB7"/>
    <w:rsid w:val="00527FE4"/>
    <w:rsid w:val="005312AE"/>
    <w:rsid w:val="005320AB"/>
    <w:rsid w:val="00533095"/>
    <w:rsid w:val="00533157"/>
    <w:rsid w:val="00534E03"/>
    <w:rsid w:val="00535B46"/>
    <w:rsid w:val="00535E42"/>
    <w:rsid w:val="00536038"/>
    <w:rsid w:val="00536496"/>
    <w:rsid w:val="005372C6"/>
    <w:rsid w:val="005376CA"/>
    <w:rsid w:val="0054027F"/>
    <w:rsid w:val="005407A2"/>
    <w:rsid w:val="00541322"/>
    <w:rsid w:val="0054159E"/>
    <w:rsid w:val="00542875"/>
    <w:rsid w:val="00543B45"/>
    <w:rsid w:val="00544BC5"/>
    <w:rsid w:val="00545354"/>
    <w:rsid w:val="005453FA"/>
    <w:rsid w:val="005461D2"/>
    <w:rsid w:val="005463F8"/>
    <w:rsid w:val="00547551"/>
    <w:rsid w:val="00547A0A"/>
    <w:rsid w:val="005501E6"/>
    <w:rsid w:val="00550AD3"/>
    <w:rsid w:val="00551167"/>
    <w:rsid w:val="005513E4"/>
    <w:rsid w:val="00552087"/>
    <w:rsid w:val="00552419"/>
    <w:rsid w:val="0055319B"/>
    <w:rsid w:val="00553C7C"/>
    <w:rsid w:val="00554204"/>
    <w:rsid w:val="005544FF"/>
    <w:rsid w:val="005552F0"/>
    <w:rsid w:val="0055553E"/>
    <w:rsid w:val="005556BA"/>
    <w:rsid w:val="00555F58"/>
    <w:rsid w:val="00556266"/>
    <w:rsid w:val="0055681F"/>
    <w:rsid w:val="00561323"/>
    <w:rsid w:val="005613BD"/>
    <w:rsid w:val="00561667"/>
    <w:rsid w:val="00561EB0"/>
    <w:rsid w:val="0056294F"/>
    <w:rsid w:val="00563074"/>
    <w:rsid w:val="00563AFC"/>
    <w:rsid w:val="005643A6"/>
    <w:rsid w:val="0056445A"/>
    <w:rsid w:val="00564EA0"/>
    <w:rsid w:val="005652DB"/>
    <w:rsid w:val="0056538D"/>
    <w:rsid w:val="00565520"/>
    <w:rsid w:val="00565D56"/>
    <w:rsid w:val="00565DB2"/>
    <w:rsid w:val="00566266"/>
    <w:rsid w:val="00566638"/>
    <w:rsid w:val="00566ED9"/>
    <w:rsid w:val="00567475"/>
    <w:rsid w:val="00567654"/>
    <w:rsid w:val="0057087B"/>
    <w:rsid w:val="00570F77"/>
    <w:rsid w:val="005715A0"/>
    <w:rsid w:val="00572C6D"/>
    <w:rsid w:val="00572CAE"/>
    <w:rsid w:val="00573756"/>
    <w:rsid w:val="00573E7F"/>
    <w:rsid w:val="00575A9A"/>
    <w:rsid w:val="005763F5"/>
    <w:rsid w:val="005764C2"/>
    <w:rsid w:val="00577037"/>
    <w:rsid w:val="0057721D"/>
    <w:rsid w:val="00577D5D"/>
    <w:rsid w:val="00580B6A"/>
    <w:rsid w:val="00581097"/>
    <w:rsid w:val="005814EE"/>
    <w:rsid w:val="0058222B"/>
    <w:rsid w:val="00584B43"/>
    <w:rsid w:val="0058530A"/>
    <w:rsid w:val="0058656A"/>
    <w:rsid w:val="00587844"/>
    <w:rsid w:val="00587AE0"/>
    <w:rsid w:val="00587DE0"/>
    <w:rsid w:val="00587F3E"/>
    <w:rsid w:val="00590179"/>
    <w:rsid w:val="0059198A"/>
    <w:rsid w:val="00591BD7"/>
    <w:rsid w:val="00591E0E"/>
    <w:rsid w:val="00593415"/>
    <w:rsid w:val="005935B5"/>
    <w:rsid w:val="005940E6"/>
    <w:rsid w:val="00595688"/>
    <w:rsid w:val="00595781"/>
    <w:rsid w:val="00595940"/>
    <w:rsid w:val="00595E1F"/>
    <w:rsid w:val="00597D67"/>
    <w:rsid w:val="005A04FF"/>
    <w:rsid w:val="005A1807"/>
    <w:rsid w:val="005A2FD6"/>
    <w:rsid w:val="005A37DA"/>
    <w:rsid w:val="005A3FA6"/>
    <w:rsid w:val="005A4608"/>
    <w:rsid w:val="005A4F5E"/>
    <w:rsid w:val="005A5240"/>
    <w:rsid w:val="005A7991"/>
    <w:rsid w:val="005B07A9"/>
    <w:rsid w:val="005B0D39"/>
    <w:rsid w:val="005B161A"/>
    <w:rsid w:val="005B1659"/>
    <w:rsid w:val="005B17C2"/>
    <w:rsid w:val="005B2E3C"/>
    <w:rsid w:val="005B325C"/>
    <w:rsid w:val="005B3784"/>
    <w:rsid w:val="005B39DC"/>
    <w:rsid w:val="005B3A36"/>
    <w:rsid w:val="005B3A65"/>
    <w:rsid w:val="005B3F30"/>
    <w:rsid w:val="005B460C"/>
    <w:rsid w:val="005B5307"/>
    <w:rsid w:val="005B5BEA"/>
    <w:rsid w:val="005B5F2C"/>
    <w:rsid w:val="005B7775"/>
    <w:rsid w:val="005C04C5"/>
    <w:rsid w:val="005C09D9"/>
    <w:rsid w:val="005C1D84"/>
    <w:rsid w:val="005C5545"/>
    <w:rsid w:val="005C640F"/>
    <w:rsid w:val="005C678E"/>
    <w:rsid w:val="005C6E79"/>
    <w:rsid w:val="005D0022"/>
    <w:rsid w:val="005D0FAD"/>
    <w:rsid w:val="005D15A9"/>
    <w:rsid w:val="005D3365"/>
    <w:rsid w:val="005D37FB"/>
    <w:rsid w:val="005D46D9"/>
    <w:rsid w:val="005D4D39"/>
    <w:rsid w:val="005D4DF2"/>
    <w:rsid w:val="005D51FC"/>
    <w:rsid w:val="005D6234"/>
    <w:rsid w:val="005D62F8"/>
    <w:rsid w:val="005D6655"/>
    <w:rsid w:val="005D724C"/>
    <w:rsid w:val="005D73A1"/>
    <w:rsid w:val="005D7505"/>
    <w:rsid w:val="005D78BA"/>
    <w:rsid w:val="005D79BD"/>
    <w:rsid w:val="005E147D"/>
    <w:rsid w:val="005E1854"/>
    <w:rsid w:val="005E1C0E"/>
    <w:rsid w:val="005E2805"/>
    <w:rsid w:val="005E3445"/>
    <w:rsid w:val="005E37F3"/>
    <w:rsid w:val="005E3A66"/>
    <w:rsid w:val="005E4590"/>
    <w:rsid w:val="005E54D3"/>
    <w:rsid w:val="005E653B"/>
    <w:rsid w:val="005E694A"/>
    <w:rsid w:val="005E6FCA"/>
    <w:rsid w:val="005F0223"/>
    <w:rsid w:val="005F0BAF"/>
    <w:rsid w:val="005F0C56"/>
    <w:rsid w:val="005F1052"/>
    <w:rsid w:val="005F397C"/>
    <w:rsid w:val="005F3BF1"/>
    <w:rsid w:val="005F446E"/>
    <w:rsid w:val="005F4550"/>
    <w:rsid w:val="005F4552"/>
    <w:rsid w:val="005F46AE"/>
    <w:rsid w:val="005F488B"/>
    <w:rsid w:val="005F4923"/>
    <w:rsid w:val="005F4F24"/>
    <w:rsid w:val="005F57B6"/>
    <w:rsid w:val="005F618C"/>
    <w:rsid w:val="005F6605"/>
    <w:rsid w:val="005F775D"/>
    <w:rsid w:val="005F78F2"/>
    <w:rsid w:val="005F7BDE"/>
    <w:rsid w:val="005F7E56"/>
    <w:rsid w:val="005F7E8F"/>
    <w:rsid w:val="006000EE"/>
    <w:rsid w:val="006005EC"/>
    <w:rsid w:val="0060067A"/>
    <w:rsid w:val="00600D2F"/>
    <w:rsid w:val="00601045"/>
    <w:rsid w:val="00601175"/>
    <w:rsid w:val="0060177D"/>
    <w:rsid w:val="0060230F"/>
    <w:rsid w:val="00602677"/>
    <w:rsid w:val="00602767"/>
    <w:rsid w:val="006048E8"/>
    <w:rsid w:val="006049E0"/>
    <w:rsid w:val="0060587C"/>
    <w:rsid w:val="0061080A"/>
    <w:rsid w:val="00610C11"/>
    <w:rsid w:val="00610F4F"/>
    <w:rsid w:val="0061176B"/>
    <w:rsid w:val="0061253D"/>
    <w:rsid w:val="00612934"/>
    <w:rsid w:val="00612BE9"/>
    <w:rsid w:val="00613492"/>
    <w:rsid w:val="00613870"/>
    <w:rsid w:val="00614622"/>
    <w:rsid w:val="006146C4"/>
    <w:rsid w:val="00617A8E"/>
    <w:rsid w:val="00621401"/>
    <w:rsid w:val="006229A3"/>
    <w:rsid w:val="00622EF5"/>
    <w:rsid w:val="00622EF8"/>
    <w:rsid w:val="00623159"/>
    <w:rsid w:val="00623254"/>
    <w:rsid w:val="0062388A"/>
    <w:rsid w:val="00623B16"/>
    <w:rsid w:val="006245B0"/>
    <w:rsid w:val="00625B9C"/>
    <w:rsid w:val="00626887"/>
    <w:rsid w:val="00627487"/>
    <w:rsid w:val="006277C2"/>
    <w:rsid w:val="006279A7"/>
    <w:rsid w:val="00627E80"/>
    <w:rsid w:val="00630AD1"/>
    <w:rsid w:val="00632D9E"/>
    <w:rsid w:val="00633019"/>
    <w:rsid w:val="006331A8"/>
    <w:rsid w:val="0063331F"/>
    <w:rsid w:val="006341A3"/>
    <w:rsid w:val="00634403"/>
    <w:rsid w:val="00636DF3"/>
    <w:rsid w:val="00636F69"/>
    <w:rsid w:val="006377BA"/>
    <w:rsid w:val="0063783E"/>
    <w:rsid w:val="00637FB1"/>
    <w:rsid w:val="00640B00"/>
    <w:rsid w:val="00640F36"/>
    <w:rsid w:val="00641B3C"/>
    <w:rsid w:val="006427A8"/>
    <w:rsid w:val="00642897"/>
    <w:rsid w:val="006428AA"/>
    <w:rsid w:val="00642DD0"/>
    <w:rsid w:val="00643434"/>
    <w:rsid w:val="00643DBA"/>
    <w:rsid w:val="00643EC4"/>
    <w:rsid w:val="006442C5"/>
    <w:rsid w:val="00644EDE"/>
    <w:rsid w:val="00645A20"/>
    <w:rsid w:val="0064613D"/>
    <w:rsid w:val="00646AFA"/>
    <w:rsid w:val="00646F22"/>
    <w:rsid w:val="00647F9A"/>
    <w:rsid w:val="00650098"/>
    <w:rsid w:val="006506BB"/>
    <w:rsid w:val="00650C74"/>
    <w:rsid w:val="006523C7"/>
    <w:rsid w:val="00652FD4"/>
    <w:rsid w:val="00653962"/>
    <w:rsid w:val="00653C4E"/>
    <w:rsid w:val="00653E88"/>
    <w:rsid w:val="00654436"/>
    <w:rsid w:val="00654DB7"/>
    <w:rsid w:val="00654E3C"/>
    <w:rsid w:val="00655846"/>
    <w:rsid w:val="006568B8"/>
    <w:rsid w:val="00657E73"/>
    <w:rsid w:val="00657E9B"/>
    <w:rsid w:val="006604EF"/>
    <w:rsid w:val="00660F59"/>
    <w:rsid w:val="006617B1"/>
    <w:rsid w:val="006628CB"/>
    <w:rsid w:val="00663D27"/>
    <w:rsid w:val="00664CE3"/>
    <w:rsid w:val="00665455"/>
    <w:rsid w:val="0066620E"/>
    <w:rsid w:val="006662F5"/>
    <w:rsid w:val="006672DD"/>
    <w:rsid w:val="006673BC"/>
    <w:rsid w:val="0067155D"/>
    <w:rsid w:val="0067162E"/>
    <w:rsid w:val="0067170B"/>
    <w:rsid w:val="00671B82"/>
    <w:rsid w:val="00671C23"/>
    <w:rsid w:val="00671DB7"/>
    <w:rsid w:val="00672357"/>
    <w:rsid w:val="00672363"/>
    <w:rsid w:val="006750F4"/>
    <w:rsid w:val="006765A1"/>
    <w:rsid w:val="00676B03"/>
    <w:rsid w:val="00676C6F"/>
    <w:rsid w:val="00677406"/>
    <w:rsid w:val="0067748A"/>
    <w:rsid w:val="00677BC2"/>
    <w:rsid w:val="00677F6C"/>
    <w:rsid w:val="0068015C"/>
    <w:rsid w:val="00681656"/>
    <w:rsid w:val="00681DA6"/>
    <w:rsid w:val="0068214B"/>
    <w:rsid w:val="00682D62"/>
    <w:rsid w:val="006841F8"/>
    <w:rsid w:val="0068449A"/>
    <w:rsid w:val="00684DA3"/>
    <w:rsid w:val="00685623"/>
    <w:rsid w:val="006856AD"/>
    <w:rsid w:val="006860FE"/>
    <w:rsid w:val="00686210"/>
    <w:rsid w:val="006866AB"/>
    <w:rsid w:val="00686930"/>
    <w:rsid w:val="00686C5B"/>
    <w:rsid w:val="00690427"/>
    <w:rsid w:val="00690505"/>
    <w:rsid w:val="0069345F"/>
    <w:rsid w:val="00693ADA"/>
    <w:rsid w:val="006940FD"/>
    <w:rsid w:val="00694115"/>
    <w:rsid w:val="00694419"/>
    <w:rsid w:val="00694500"/>
    <w:rsid w:val="0069602B"/>
    <w:rsid w:val="0069662E"/>
    <w:rsid w:val="006A0AE4"/>
    <w:rsid w:val="006A11FE"/>
    <w:rsid w:val="006A16E2"/>
    <w:rsid w:val="006A1706"/>
    <w:rsid w:val="006A1C0D"/>
    <w:rsid w:val="006A2945"/>
    <w:rsid w:val="006A2E5D"/>
    <w:rsid w:val="006A391A"/>
    <w:rsid w:val="006A3D49"/>
    <w:rsid w:val="006A4452"/>
    <w:rsid w:val="006A5281"/>
    <w:rsid w:val="006A53EC"/>
    <w:rsid w:val="006A55C0"/>
    <w:rsid w:val="006A61FB"/>
    <w:rsid w:val="006A6DCA"/>
    <w:rsid w:val="006A706F"/>
    <w:rsid w:val="006A7936"/>
    <w:rsid w:val="006A7A99"/>
    <w:rsid w:val="006B0B12"/>
    <w:rsid w:val="006B191E"/>
    <w:rsid w:val="006B30B1"/>
    <w:rsid w:val="006B43C5"/>
    <w:rsid w:val="006B4AC5"/>
    <w:rsid w:val="006B4DDA"/>
    <w:rsid w:val="006B4DF4"/>
    <w:rsid w:val="006B4E5A"/>
    <w:rsid w:val="006B51B7"/>
    <w:rsid w:val="006B5869"/>
    <w:rsid w:val="006B5FF4"/>
    <w:rsid w:val="006B649B"/>
    <w:rsid w:val="006B7BA2"/>
    <w:rsid w:val="006C1817"/>
    <w:rsid w:val="006C2209"/>
    <w:rsid w:val="006C2CF3"/>
    <w:rsid w:val="006C3C20"/>
    <w:rsid w:val="006C3CE4"/>
    <w:rsid w:val="006C3F3F"/>
    <w:rsid w:val="006C4112"/>
    <w:rsid w:val="006C524D"/>
    <w:rsid w:val="006C66AB"/>
    <w:rsid w:val="006C6E60"/>
    <w:rsid w:val="006D0C02"/>
    <w:rsid w:val="006D1DC3"/>
    <w:rsid w:val="006D2899"/>
    <w:rsid w:val="006D29C1"/>
    <w:rsid w:val="006D4EB7"/>
    <w:rsid w:val="006D59EF"/>
    <w:rsid w:val="006D5BEE"/>
    <w:rsid w:val="006D78BD"/>
    <w:rsid w:val="006D7F45"/>
    <w:rsid w:val="006E0744"/>
    <w:rsid w:val="006E0F40"/>
    <w:rsid w:val="006E253B"/>
    <w:rsid w:val="006E2DEB"/>
    <w:rsid w:val="006E2E53"/>
    <w:rsid w:val="006E34A6"/>
    <w:rsid w:val="006E4A27"/>
    <w:rsid w:val="006E4B34"/>
    <w:rsid w:val="006E625B"/>
    <w:rsid w:val="006E6C27"/>
    <w:rsid w:val="006E6F3B"/>
    <w:rsid w:val="006E72B3"/>
    <w:rsid w:val="006E7FC1"/>
    <w:rsid w:val="006F1624"/>
    <w:rsid w:val="006F3ABE"/>
    <w:rsid w:val="006F3B9D"/>
    <w:rsid w:val="006F4FD8"/>
    <w:rsid w:val="006F5D89"/>
    <w:rsid w:val="006F679D"/>
    <w:rsid w:val="006F6B57"/>
    <w:rsid w:val="00700FBC"/>
    <w:rsid w:val="00701039"/>
    <w:rsid w:val="0070108B"/>
    <w:rsid w:val="00701605"/>
    <w:rsid w:val="00702873"/>
    <w:rsid w:val="007039E4"/>
    <w:rsid w:val="00703C93"/>
    <w:rsid w:val="00703D7C"/>
    <w:rsid w:val="00704C73"/>
    <w:rsid w:val="00705476"/>
    <w:rsid w:val="0070585A"/>
    <w:rsid w:val="007059AA"/>
    <w:rsid w:val="00705A4D"/>
    <w:rsid w:val="00705F57"/>
    <w:rsid w:val="00706D51"/>
    <w:rsid w:val="007072CF"/>
    <w:rsid w:val="0070796C"/>
    <w:rsid w:val="007102C2"/>
    <w:rsid w:val="007104A7"/>
    <w:rsid w:val="00710795"/>
    <w:rsid w:val="00712D5B"/>
    <w:rsid w:val="00712DDB"/>
    <w:rsid w:val="00712FE0"/>
    <w:rsid w:val="00713E39"/>
    <w:rsid w:val="00714B6C"/>
    <w:rsid w:val="00714CA1"/>
    <w:rsid w:val="00716276"/>
    <w:rsid w:val="00716B0C"/>
    <w:rsid w:val="00720D2E"/>
    <w:rsid w:val="0072145B"/>
    <w:rsid w:val="007234EE"/>
    <w:rsid w:val="00724700"/>
    <w:rsid w:val="00724D8B"/>
    <w:rsid w:val="00726443"/>
    <w:rsid w:val="00726DEC"/>
    <w:rsid w:val="00726E31"/>
    <w:rsid w:val="00727140"/>
    <w:rsid w:val="0072794E"/>
    <w:rsid w:val="00727ED6"/>
    <w:rsid w:val="00730331"/>
    <w:rsid w:val="007314D3"/>
    <w:rsid w:val="00731B53"/>
    <w:rsid w:val="00732AA2"/>
    <w:rsid w:val="00733B26"/>
    <w:rsid w:val="00735460"/>
    <w:rsid w:val="00735C04"/>
    <w:rsid w:val="0073606F"/>
    <w:rsid w:val="007365E6"/>
    <w:rsid w:val="007376EA"/>
    <w:rsid w:val="007379CF"/>
    <w:rsid w:val="00741299"/>
    <w:rsid w:val="00741304"/>
    <w:rsid w:val="007414D5"/>
    <w:rsid w:val="00741743"/>
    <w:rsid w:val="0074183F"/>
    <w:rsid w:val="00741863"/>
    <w:rsid w:val="00741A19"/>
    <w:rsid w:val="007426DC"/>
    <w:rsid w:val="0074297C"/>
    <w:rsid w:val="00742AF5"/>
    <w:rsid w:val="00744C94"/>
    <w:rsid w:val="0074698B"/>
    <w:rsid w:val="00746FA3"/>
    <w:rsid w:val="00747C1C"/>
    <w:rsid w:val="0075016B"/>
    <w:rsid w:val="007506F9"/>
    <w:rsid w:val="00750846"/>
    <w:rsid w:val="00750A79"/>
    <w:rsid w:val="007510BF"/>
    <w:rsid w:val="007513FF"/>
    <w:rsid w:val="00751D5F"/>
    <w:rsid w:val="00751FE7"/>
    <w:rsid w:val="007520B7"/>
    <w:rsid w:val="00752CB1"/>
    <w:rsid w:val="00752FE6"/>
    <w:rsid w:val="00753F6B"/>
    <w:rsid w:val="00754A50"/>
    <w:rsid w:val="00755256"/>
    <w:rsid w:val="00756452"/>
    <w:rsid w:val="00756CA0"/>
    <w:rsid w:val="00756E0B"/>
    <w:rsid w:val="00757B06"/>
    <w:rsid w:val="00760135"/>
    <w:rsid w:val="00760190"/>
    <w:rsid w:val="00760CFF"/>
    <w:rsid w:val="0076184C"/>
    <w:rsid w:val="0076354D"/>
    <w:rsid w:val="00763F52"/>
    <w:rsid w:val="0076420B"/>
    <w:rsid w:val="00764DB1"/>
    <w:rsid w:val="00765606"/>
    <w:rsid w:val="007658B2"/>
    <w:rsid w:val="007658C2"/>
    <w:rsid w:val="00765EB0"/>
    <w:rsid w:val="007666C9"/>
    <w:rsid w:val="00767E64"/>
    <w:rsid w:val="00767ECB"/>
    <w:rsid w:val="0077046B"/>
    <w:rsid w:val="00770679"/>
    <w:rsid w:val="007717CD"/>
    <w:rsid w:val="00772E41"/>
    <w:rsid w:val="00773118"/>
    <w:rsid w:val="007732C2"/>
    <w:rsid w:val="00773828"/>
    <w:rsid w:val="00773899"/>
    <w:rsid w:val="00773B1C"/>
    <w:rsid w:val="00773EC3"/>
    <w:rsid w:val="00774290"/>
    <w:rsid w:val="00774502"/>
    <w:rsid w:val="007759ED"/>
    <w:rsid w:val="0077616C"/>
    <w:rsid w:val="00776A89"/>
    <w:rsid w:val="00776C8C"/>
    <w:rsid w:val="00780B95"/>
    <w:rsid w:val="0078169F"/>
    <w:rsid w:val="00781DF7"/>
    <w:rsid w:val="00782AFE"/>
    <w:rsid w:val="00782E37"/>
    <w:rsid w:val="007842EF"/>
    <w:rsid w:val="00784A70"/>
    <w:rsid w:val="00785127"/>
    <w:rsid w:val="00785869"/>
    <w:rsid w:val="00785F84"/>
    <w:rsid w:val="007860E0"/>
    <w:rsid w:val="00786ED1"/>
    <w:rsid w:val="00786FA3"/>
    <w:rsid w:val="007904CE"/>
    <w:rsid w:val="007908CF"/>
    <w:rsid w:val="00791184"/>
    <w:rsid w:val="00791A2C"/>
    <w:rsid w:val="00791BD4"/>
    <w:rsid w:val="0079331F"/>
    <w:rsid w:val="00795452"/>
    <w:rsid w:val="00795A30"/>
    <w:rsid w:val="007965B8"/>
    <w:rsid w:val="007969B8"/>
    <w:rsid w:val="007975AC"/>
    <w:rsid w:val="007A00E5"/>
    <w:rsid w:val="007A07A8"/>
    <w:rsid w:val="007A0AD3"/>
    <w:rsid w:val="007A0D3F"/>
    <w:rsid w:val="007A1FC4"/>
    <w:rsid w:val="007A1FDB"/>
    <w:rsid w:val="007A272B"/>
    <w:rsid w:val="007A3305"/>
    <w:rsid w:val="007A48CB"/>
    <w:rsid w:val="007A4D68"/>
    <w:rsid w:val="007A4F3D"/>
    <w:rsid w:val="007A5D86"/>
    <w:rsid w:val="007A5DDF"/>
    <w:rsid w:val="007A603C"/>
    <w:rsid w:val="007A654B"/>
    <w:rsid w:val="007A6B28"/>
    <w:rsid w:val="007A716B"/>
    <w:rsid w:val="007A7690"/>
    <w:rsid w:val="007A7CFF"/>
    <w:rsid w:val="007A7D1E"/>
    <w:rsid w:val="007B136C"/>
    <w:rsid w:val="007B18CA"/>
    <w:rsid w:val="007B2F4E"/>
    <w:rsid w:val="007B3033"/>
    <w:rsid w:val="007B34CC"/>
    <w:rsid w:val="007B3FF0"/>
    <w:rsid w:val="007B4596"/>
    <w:rsid w:val="007B4655"/>
    <w:rsid w:val="007B5792"/>
    <w:rsid w:val="007B5DF9"/>
    <w:rsid w:val="007B5EA5"/>
    <w:rsid w:val="007B60C8"/>
    <w:rsid w:val="007B681C"/>
    <w:rsid w:val="007B6DA5"/>
    <w:rsid w:val="007B6E93"/>
    <w:rsid w:val="007C0454"/>
    <w:rsid w:val="007C0C53"/>
    <w:rsid w:val="007C17A4"/>
    <w:rsid w:val="007C297F"/>
    <w:rsid w:val="007C4BA1"/>
    <w:rsid w:val="007C511F"/>
    <w:rsid w:val="007C6464"/>
    <w:rsid w:val="007C68BC"/>
    <w:rsid w:val="007C77FB"/>
    <w:rsid w:val="007D023D"/>
    <w:rsid w:val="007D02A5"/>
    <w:rsid w:val="007D1741"/>
    <w:rsid w:val="007D1F8F"/>
    <w:rsid w:val="007D20A6"/>
    <w:rsid w:val="007D3D78"/>
    <w:rsid w:val="007D4AC4"/>
    <w:rsid w:val="007D4AF3"/>
    <w:rsid w:val="007D6140"/>
    <w:rsid w:val="007D6467"/>
    <w:rsid w:val="007D731C"/>
    <w:rsid w:val="007D7414"/>
    <w:rsid w:val="007D78CB"/>
    <w:rsid w:val="007D7C7C"/>
    <w:rsid w:val="007E0BB4"/>
    <w:rsid w:val="007E0D81"/>
    <w:rsid w:val="007E195C"/>
    <w:rsid w:val="007E1A03"/>
    <w:rsid w:val="007E2588"/>
    <w:rsid w:val="007E2C3B"/>
    <w:rsid w:val="007E2DFA"/>
    <w:rsid w:val="007E4419"/>
    <w:rsid w:val="007E4703"/>
    <w:rsid w:val="007E4C43"/>
    <w:rsid w:val="007E4E38"/>
    <w:rsid w:val="007E51AB"/>
    <w:rsid w:val="007E5A97"/>
    <w:rsid w:val="007E702A"/>
    <w:rsid w:val="007E7690"/>
    <w:rsid w:val="007E7CEB"/>
    <w:rsid w:val="007F02A3"/>
    <w:rsid w:val="007F041E"/>
    <w:rsid w:val="007F17EA"/>
    <w:rsid w:val="007F1969"/>
    <w:rsid w:val="007F26C2"/>
    <w:rsid w:val="007F35ED"/>
    <w:rsid w:val="007F3B38"/>
    <w:rsid w:val="007F449A"/>
    <w:rsid w:val="007F5126"/>
    <w:rsid w:val="007F5F58"/>
    <w:rsid w:val="007F69B8"/>
    <w:rsid w:val="007F6C81"/>
    <w:rsid w:val="007F75CB"/>
    <w:rsid w:val="008009D7"/>
    <w:rsid w:val="008010A2"/>
    <w:rsid w:val="008012A5"/>
    <w:rsid w:val="008019C8"/>
    <w:rsid w:val="00802BF3"/>
    <w:rsid w:val="00802FF5"/>
    <w:rsid w:val="00803EC3"/>
    <w:rsid w:val="0080434C"/>
    <w:rsid w:val="008047BD"/>
    <w:rsid w:val="00804B6E"/>
    <w:rsid w:val="00804F7B"/>
    <w:rsid w:val="00804F90"/>
    <w:rsid w:val="00804FC9"/>
    <w:rsid w:val="0080520E"/>
    <w:rsid w:val="008070DE"/>
    <w:rsid w:val="00807425"/>
    <w:rsid w:val="00807968"/>
    <w:rsid w:val="00810BF7"/>
    <w:rsid w:val="00810BF8"/>
    <w:rsid w:val="00811158"/>
    <w:rsid w:val="00812EF0"/>
    <w:rsid w:val="008133A0"/>
    <w:rsid w:val="008138E3"/>
    <w:rsid w:val="00813C2F"/>
    <w:rsid w:val="008141EA"/>
    <w:rsid w:val="0081484A"/>
    <w:rsid w:val="00814E4E"/>
    <w:rsid w:val="00815BB9"/>
    <w:rsid w:val="00815EAD"/>
    <w:rsid w:val="008179A8"/>
    <w:rsid w:val="00817D86"/>
    <w:rsid w:val="008201AF"/>
    <w:rsid w:val="0082069A"/>
    <w:rsid w:val="0082073F"/>
    <w:rsid w:val="00820DD1"/>
    <w:rsid w:val="00823066"/>
    <w:rsid w:val="0082333F"/>
    <w:rsid w:val="008233C0"/>
    <w:rsid w:val="008239E8"/>
    <w:rsid w:val="00824B44"/>
    <w:rsid w:val="00824CC8"/>
    <w:rsid w:val="00824FC8"/>
    <w:rsid w:val="0082521F"/>
    <w:rsid w:val="008252F0"/>
    <w:rsid w:val="0082562F"/>
    <w:rsid w:val="008269EA"/>
    <w:rsid w:val="00827193"/>
    <w:rsid w:val="008271BB"/>
    <w:rsid w:val="008277A1"/>
    <w:rsid w:val="00830D47"/>
    <w:rsid w:val="00831B47"/>
    <w:rsid w:val="00832D82"/>
    <w:rsid w:val="008338A1"/>
    <w:rsid w:val="008339E3"/>
    <w:rsid w:val="00833A80"/>
    <w:rsid w:val="00834E0D"/>
    <w:rsid w:val="0083573A"/>
    <w:rsid w:val="00835757"/>
    <w:rsid w:val="00835874"/>
    <w:rsid w:val="00835D4C"/>
    <w:rsid w:val="008372E0"/>
    <w:rsid w:val="008375D4"/>
    <w:rsid w:val="00840B48"/>
    <w:rsid w:val="00842043"/>
    <w:rsid w:val="00842838"/>
    <w:rsid w:val="00842B0F"/>
    <w:rsid w:val="0084370D"/>
    <w:rsid w:val="00843FBC"/>
    <w:rsid w:val="0084462F"/>
    <w:rsid w:val="00844835"/>
    <w:rsid w:val="00845155"/>
    <w:rsid w:val="00845193"/>
    <w:rsid w:val="008461D7"/>
    <w:rsid w:val="0084680E"/>
    <w:rsid w:val="00846B78"/>
    <w:rsid w:val="00850982"/>
    <w:rsid w:val="00850B91"/>
    <w:rsid w:val="00850E96"/>
    <w:rsid w:val="008513E9"/>
    <w:rsid w:val="008521DE"/>
    <w:rsid w:val="00852BDE"/>
    <w:rsid w:val="00854E62"/>
    <w:rsid w:val="00855244"/>
    <w:rsid w:val="00855252"/>
    <w:rsid w:val="00856393"/>
    <w:rsid w:val="008572AC"/>
    <w:rsid w:val="008600AD"/>
    <w:rsid w:val="00860A09"/>
    <w:rsid w:val="00860AB0"/>
    <w:rsid w:val="00862283"/>
    <w:rsid w:val="00863193"/>
    <w:rsid w:val="008634CF"/>
    <w:rsid w:val="008639DA"/>
    <w:rsid w:val="00863E98"/>
    <w:rsid w:val="00865338"/>
    <w:rsid w:val="008658E0"/>
    <w:rsid w:val="00866045"/>
    <w:rsid w:val="00866A9E"/>
    <w:rsid w:val="00867395"/>
    <w:rsid w:val="008674B3"/>
    <w:rsid w:val="008674B5"/>
    <w:rsid w:val="00870279"/>
    <w:rsid w:val="008704AE"/>
    <w:rsid w:val="00870D1A"/>
    <w:rsid w:val="00871B24"/>
    <w:rsid w:val="008723C3"/>
    <w:rsid w:val="008736F2"/>
    <w:rsid w:val="00873E36"/>
    <w:rsid w:val="00875D15"/>
    <w:rsid w:val="008767C7"/>
    <w:rsid w:val="0088139D"/>
    <w:rsid w:val="00881B10"/>
    <w:rsid w:val="00881F74"/>
    <w:rsid w:val="0088208D"/>
    <w:rsid w:val="008848ED"/>
    <w:rsid w:val="008849DA"/>
    <w:rsid w:val="008851A9"/>
    <w:rsid w:val="0088556C"/>
    <w:rsid w:val="00886D83"/>
    <w:rsid w:val="00890812"/>
    <w:rsid w:val="00892115"/>
    <w:rsid w:val="0089286A"/>
    <w:rsid w:val="00892C90"/>
    <w:rsid w:val="0089335F"/>
    <w:rsid w:val="0089411A"/>
    <w:rsid w:val="00895DBB"/>
    <w:rsid w:val="008960C5"/>
    <w:rsid w:val="00897568"/>
    <w:rsid w:val="008A03DF"/>
    <w:rsid w:val="008A13BE"/>
    <w:rsid w:val="008A27B0"/>
    <w:rsid w:val="008A2D17"/>
    <w:rsid w:val="008A34E2"/>
    <w:rsid w:val="008A3929"/>
    <w:rsid w:val="008A3E40"/>
    <w:rsid w:val="008A41F2"/>
    <w:rsid w:val="008A4FE3"/>
    <w:rsid w:val="008A5330"/>
    <w:rsid w:val="008A6E52"/>
    <w:rsid w:val="008B0F83"/>
    <w:rsid w:val="008B14B8"/>
    <w:rsid w:val="008B1569"/>
    <w:rsid w:val="008B206C"/>
    <w:rsid w:val="008B2B6B"/>
    <w:rsid w:val="008B3D79"/>
    <w:rsid w:val="008B4CCC"/>
    <w:rsid w:val="008B5689"/>
    <w:rsid w:val="008B5886"/>
    <w:rsid w:val="008B63EE"/>
    <w:rsid w:val="008B640E"/>
    <w:rsid w:val="008C0BBF"/>
    <w:rsid w:val="008C3BEB"/>
    <w:rsid w:val="008C3E1E"/>
    <w:rsid w:val="008C56E8"/>
    <w:rsid w:val="008C5A94"/>
    <w:rsid w:val="008C5A95"/>
    <w:rsid w:val="008C5ABC"/>
    <w:rsid w:val="008C6BB3"/>
    <w:rsid w:val="008D09E0"/>
    <w:rsid w:val="008D2A4D"/>
    <w:rsid w:val="008D2C84"/>
    <w:rsid w:val="008D32F3"/>
    <w:rsid w:val="008D3AD5"/>
    <w:rsid w:val="008D442D"/>
    <w:rsid w:val="008D4A1A"/>
    <w:rsid w:val="008D4C4F"/>
    <w:rsid w:val="008D4E12"/>
    <w:rsid w:val="008D63B3"/>
    <w:rsid w:val="008D6596"/>
    <w:rsid w:val="008D6931"/>
    <w:rsid w:val="008D6B60"/>
    <w:rsid w:val="008D7AF0"/>
    <w:rsid w:val="008D7F5F"/>
    <w:rsid w:val="008E077F"/>
    <w:rsid w:val="008E0DE5"/>
    <w:rsid w:val="008E10FE"/>
    <w:rsid w:val="008E1508"/>
    <w:rsid w:val="008E234A"/>
    <w:rsid w:val="008E385F"/>
    <w:rsid w:val="008E5A12"/>
    <w:rsid w:val="008E605A"/>
    <w:rsid w:val="008E668E"/>
    <w:rsid w:val="008E6A26"/>
    <w:rsid w:val="008E6DB6"/>
    <w:rsid w:val="008E7205"/>
    <w:rsid w:val="008F063D"/>
    <w:rsid w:val="008F07A2"/>
    <w:rsid w:val="008F16F7"/>
    <w:rsid w:val="008F181E"/>
    <w:rsid w:val="008F18EE"/>
    <w:rsid w:val="008F22C6"/>
    <w:rsid w:val="008F2573"/>
    <w:rsid w:val="008F2939"/>
    <w:rsid w:val="008F2BD2"/>
    <w:rsid w:val="008F2D33"/>
    <w:rsid w:val="008F3882"/>
    <w:rsid w:val="008F4021"/>
    <w:rsid w:val="008F52FF"/>
    <w:rsid w:val="008F662D"/>
    <w:rsid w:val="008F6F49"/>
    <w:rsid w:val="008F752E"/>
    <w:rsid w:val="008F79C9"/>
    <w:rsid w:val="008F7F6C"/>
    <w:rsid w:val="00900597"/>
    <w:rsid w:val="00901831"/>
    <w:rsid w:val="0090184A"/>
    <w:rsid w:val="00902594"/>
    <w:rsid w:val="00904508"/>
    <w:rsid w:val="0090578C"/>
    <w:rsid w:val="00905B27"/>
    <w:rsid w:val="0090628A"/>
    <w:rsid w:val="0090640D"/>
    <w:rsid w:val="00906938"/>
    <w:rsid w:val="0090739C"/>
    <w:rsid w:val="00907613"/>
    <w:rsid w:val="00907CD8"/>
    <w:rsid w:val="00907E73"/>
    <w:rsid w:val="00910498"/>
    <w:rsid w:val="00910C8A"/>
    <w:rsid w:val="00911037"/>
    <w:rsid w:val="00911CEF"/>
    <w:rsid w:val="00911D5E"/>
    <w:rsid w:val="00911F09"/>
    <w:rsid w:val="00913D9B"/>
    <w:rsid w:val="00913F10"/>
    <w:rsid w:val="009145F1"/>
    <w:rsid w:val="00914B8D"/>
    <w:rsid w:val="009152CE"/>
    <w:rsid w:val="00915AAF"/>
    <w:rsid w:val="00916061"/>
    <w:rsid w:val="0091622C"/>
    <w:rsid w:val="0091656C"/>
    <w:rsid w:val="00917C72"/>
    <w:rsid w:val="00917C7B"/>
    <w:rsid w:val="00920349"/>
    <w:rsid w:val="009206C4"/>
    <w:rsid w:val="00920785"/>
    <w:rsid w:val="00920809"/>
    <w:rsid w:val="00920B26"/>
    <w:rsid w:val="00920D16"/>
    <w:rsid w:val="00920E08"/>
    <w:rsid w:val="00921B56"/>
    <w:rsid w:val="00923188"/>
    <w:rsid w:val="0092344A"/>
    <w:rsid w:val="0092499C"/>
    <w:rsid w:val="00924C09"/>
    <w:rsid w:val="0092542A"/>
    <w:rsid w:val="00925498"/>
    <w:rsid w:val="0092551D"/>
    <w:rsid w:val="00926BFE"/>
    <w:rsid w:val="009270C6"/>
    <w:rsid w:val="0093011C"/>
    <w:rsid w:val="009304E7"/>
    <w:rsid w:val="0093059F"/>
    <w:rsid w:val="00930770"/>
    <w:rsid w:val="00931846"/>
    <w:rsid w:val="009324BD"/>
    <w:rsid w:val="009326E1"/>
    <w:rsid w:val="009331E7"/>
    <w:rsid w:val="00934369"/>
    <w:rsid w:val="0093452E"/>
    <w:rsid w:val="00934B32"/>
    <w:rsid w:val="00935D4D"/>
    <w:rsid w:val="00935DF0"/>
    <w:rsid w:val="00935EA2"/>
    <w:rsid w:val="00936F4F"/>
    <w:rsid w:val="009422F5"/>
    <w:rsid w:val="009424CA"/>
    <w:rsid w:val="0094259E"/>
    <w:rsid w:val="00942B63"/>
    <w:rsid w:val="00943454"/>
    <w:rsid w:val="00943FE6"/>
    <w:rsid w:val="0094416A"/>
    <w:rsid w:val="00946034"/>
    <w:rsid w:val="00946C1D"/>
    <w:rsid w:val="00946DE9"/>
    <w:rsid w:val="009470AE"/>
    <w:rsid w:val="009474AE"/>
    <w:rsid w:val="009475E1"/>
    <w:rsid w:val="009475EE"/>
    <w:rsid w:val="009514B9"/>
    <w:rsid w:val="00951686"/>
    <w:rsid w:val="00951E21"/>
    <w:rsid w:val="0095289D"/>
    <w:rsid w:val="00953A17"/>
    <w:rsid w:val="00954A5F"/>
    <w:rsid w:val="00954C28"/>
    <w:rsid w:val="009550A3"/>
    <w:rsid w:val="00955AC3"/>
    <w:rsid w:val="00955EC0"/>
    <w:rsid w:val="00957310"/>
    <w:rsid w:val="00957851"/>
    <w:rsid w:val="009623E2"/>
    <w:rsid w:val="00963025"/>
    <w:rsid w:val="00963256"/>
    <w:rsid w:val="009636BD"/>
    <w:rsid w:val="00963BDD"/>
    <w:rsid w:val="00964BBB"/>
    <w:rsid w:val="00964D10"/>
    <w:rsid w:val="00964FE1"/>
    <w:rsid w:val="0096544B"/>
    <w:rsid w:val="00965810"/>
    <w:rsid w:val="00965D21"/>
    <w:rsid w:val="00966443"/>
    <w:rsid w:val="00966547"/>
    <w:rsid w:val="00967080"/>
    <w:rsid w:val="0096789C"/>
    <w:rsid w:val="00970D9B"/>
    <w:rsid w:val="009718DA"/>
    <w:rsid w:val="00971A73"/>
    <w:rsid w:val="009735C6"/>
    <w:rsid w:val="00975E72"/>
    <w:rsid w:val="009760E2"/>
    <w:rsid w:val="009764CC"/>
    <w:rsid w:val="00976BAB"/>
    <w:rsid w:val="00977128"/>
    <w:rsid w:val="009800C4"/>
    <w:rsid w:val="0098010A"/>
    <w:rsid w:val="009803F3"/>
    <w:rsid w:val="00981350"/>
    <w:rsid w:val="00981A68"/>
    <w:rsid w:val="00983561"/>
    <w:rsid w:val="00984050"/>
    <w:rsid w:val="009842E3"/>
    <w:rsid w:val="00984A00"/>
    <w:rsid w:val="0098541E"/>
    <w:rsid w:val="00987055"/>
    <w:rsid w:val="009901AF"/>
    <w:rsid w:val="0099064C"/>
    <w:rsid w:val="00992A25"/>
    <w:rsid w:val="00992F19"/>
    <w:rsid w:val="00992F7C"/>
    <w:rsid w:val="00992FBD"/>
    <w:rsid w:val="00993126"/>
    <w:rsid w:val="00993804"/>
    <w:rsid w:val="00993B61"/>
    <w:rsid w:val="00995F72"/>
    <w:rsid w:val="0099673D"/>
    <w:rsid w:val="00996A7C"/>
    <w:rsid w:val="00996BAB"/>
    <w:rsid w:val="00996C6C"/>
    <w:rsid w:val="0099728F"/>
    <w:rsid w:val="00997351"/>
    <w:rsid w:val="0099779D"/>
    <w:rsid w:val="00997E31"/>
    <w:rsid w:val="009A0387"/>
    <w:rsid w:val="009A299B"/>
    <w:rsid w:val="009A3A34"/>
    <w:rsid w:val="009A3AB6"/>
    <w:rsid w:val="009A5361"/>
    <w:rsid w:val="009A5B00"/>
    <w:rsid w:val="009A5BC3"/>
    <w:rsid w:val="009A6CEA"/>
    <w:rsid w:val="009A7B40"/>
    <w:rsid w:val="009A7E89"/>
    <w:rsid w:val="009A7FC8"/>
    <w:rsid w:val="009B012A"/>
    <w:rsid w:val="009B04A5"/>
    <w:rsid w:val="009B0E5F"/>
    <w:rsid w:val="009B132C"/>
    <w:rsid w:val="009B19EE"/>
    <w:rsid w:val="009B2772"/>
    <w:rsid w:val="009B5102"/>
    <w:rsid w:val="009B5378"/>
    <w:rsid w:val="009B5730"/>
    <w:rsid w:val="009B5775"/>
    <w:rsid w:val="009B5AC3"/>
    <w:rsid w:val="009B5CB1"/>
    <w:rsid w:val="009B5CC0"/>
    <w:rsid w:val="009B62E8"/>
    <w:rsid w:val="009B647A"/>
    <w:rsid w:val="009B68DE"/>
    <w:rsid w:val="009B6A3C"/>
    <w:rsid w:val="009B7655"/>
    <w:rsid w:val="009C1427"/>
    <w:rsid w:val="009C1874"/>
    <w:rsid w:val="009C20C2"/>
    <w:rsid w:val="009C2601"/>
    <w:rsid w:val="009C3BB4"/>
    <w:rsid w:val="009C458F"/>
    <w:rsid w:val="009C4B91"/>
    <w:rsid w:val="009C5DD6"/>
    <w:rsid w:val="009C7212"/>
    <w:rsid w:val="009C7B61"/>
    <w:rsid w:val="009C7BC9"/>
    <w:rsid w:val="009C7CF8"/>
    <w:rsid w:val="009D0B30"/>
    <w:rsid w:val="009D1473"/>
    <w:rsid w:val="009D1F38"/>
    <w:rsid w:val="009D2910"/>
    <w:rsid w:val="009D3254"/>
    <w:rsid w:val="009D3674"/>
    <w:rsid w:val="009D4CA8"/>
    <w:rsid w:val="009D5E75"/>
    <w:rsid w:val="009D5EBE"/>
    <w:rsid w:val="009D5F97"/>
    <w:rsid w:val="009D6309"/>
    <w:rsid w:val="009D6A6E"/>
    <w:rsid w:val="009D7D4B"/>
    <w:rsid w:val="009E018B"/>
    <w:rsid w:val="009E0248"/>
    <w:rsid w:val="009E1D20"/>
    <w:rsid w:val="009E2DBA"/>
    <w:rsid w:val="009E320B"/>
    <w:rsid w:val="009E32F1"/>
    <w:rsid w:val="009E335C"/>
    <w:rsid w:val="009E3474"/>
    <w:rsid w:val="009E34F1"/>
    <w:rsid w:val="009E4281"/>
    <w:rsid w:val="009E4740"/>
    <w:rsid w:val="009E48E0"/>
    <w:rsid w:val="009E4F6A"/>
    <w:rsid w:val="009E5125"/>
    <w:rsid w:val="009E6119"/>
    <w:rsid w:val="009E6D75"/>
    <w:rsid w:val="009E6F34"/>
    <w:rsid w:val="009E73A5"/>
    <w:rsid w:val="009E7C50"/>
    <w:rsid w:val="009F015F"/>
    <w:rsid w:val="009F0425"/>
    <w:rsid w:val="009F0A8C"/>
    <w:rsid w:val="009F1C36"/>
    <w:rsid w:val="009F25C1"/>
    <w:rsid w:val="009F270E"/>
    <w:rsid w:val="009F28E6"/>
    <w:rsid w:val="009F5739"/>
    <w:rsid w:val="009F5A6B"/>
    <w:rsid w:val="009F61C8"/>
    <w:rsid w:val="009F6950"/>
    <w:rsid w:val="009F7389"/>
    <w:rsid w:val="009F78DD"/>
    <w:rsid w:val="00A01440"/>
    <w:rsid w:val="00A01C70"/>
    <w:rsid w:val="00A01F7B"/>
    <w:rsid w:val="00A02266"/>
    <w:rsid w:val="00A02503"/>
    <w:rsid w:val="00A0285B"/>
    <w:rsid w:val="00A0293F"/>
    <w:rsid w:val="00A03018"/>
    <w:rsid w:val="00A0384F"/>
    <w:rsid w:val="00A0466D"/>
    <w:rsid w:val="00A04DFB"/>
    <w:rsid w:val="00A04EDD"/>
    <w:rsid w:val="00A0551A"/>
    <w:rsid w:val="00A05720"/>
    <w:rsid w:val="00A06095"/>
    <w:rsid w:val="00A07841"/>
    <w:rsid w:val="00A07D02"/>
    <w:rsid w:val="00A114C4"/>
    <w:rsid w:val="00A11F30"/>
    <w:rsid w:val="00A121FD"/>
    <w:rsid w:val="00A12207"/>
    <w:rsid w:val="00A129A5"/>
    <w:rsid w:val="00A136B8"/>
    <w:rsid w:val="00A14DE5"/>
    <w:rsid w:val="00A15063"/>
    <w:rsid w:val="00A154A0"/>
    <w:rsid w:val="00A15766"/>
    <w:rsid w:val="00A15B63"/>
    <w:rsid w:val="00A16696"/>
    <w:rsid w:val="00A16B6C"/>
    <w:rsid w:val="00A17E09"/>
    <w:rsid w:val="00A17FA6"/>
    <w:rsid w:val="00A2039E"/>
    <w:rsid w:val="00A20413"/>
    <w:rsid w:val="00A21165"/>
    <w:rsid w:val="00A21490"/>
    <w:rsid w:val="00A2159D"/>
    <w:rsid w:val="00A21F78"/>
    <w:rsid w:val="00A22768"/>
    <w:rsid w:val="00A22C61"/>
    <w:rsid w:val="00A241B9"/>
    <w:rsid w:val="00A24CC1"/>
    <w:rsid w:val="00A25160"/>
    <w:rsid w:val="00A251F7"/>
    <w:rsid w:val="00A253B8"/>
    <w:rsid w:val="00A255AF"/>
    <w:rsid w:val="00A264B9"/>
    <w:rsid w:val="00A267F3"/>
    <w:rsid w:val="00A27ACE"/>
    <w:rsid w:val="00A31392"/>
    <w:rsid w:val="00A31534"/>
    <w:rsid w:val="00A31B60"/>
    <w:rsid w:val="00A32628"/>
    <w:rsid w:val="00A33042"/>
    <w:rsid w:val="00A331EA"/>
    <w:rsid w:val="00A33827"/>
    <w:rsid w:val="00A33AA1"/>
    <w:rsid w:val="00A33F2B"/>
    <w:rsid w:val="00A345FC"/>
    <w:rsid w:val="00A34903"/>
    <w:rsid w:val="00A34C4F"/>
    <w:rsid w:val="00A3527E"/>
    <w:rsid w:val="00A3605A"/>
    <w:rsid w:val="00A3770C"/>
    <w:rsid w:val="00A37B8B"/>
    <w:rsid w:val="00A4031F"/>
    <w:rsid w:val="00A4166F"/>
    <w:rsid w:val="00A417BD"/>
    <w:rsid w:val="00A41B26"/>
    <w:rsid w:val="00A41FFA"/>
    <w:rsid w:val="00A4202D"/>
    <w:rsid w:val="00A42863"/>
    <w:rsid w:val="00A43C9A"/>
    <w:rsid w:val="00A440FE"/>
    <w:rsid w:val="00A4456A"/>
    <w:rsid w:val="00A453A2"/>
    <w:rsid w:val="00A46AA0"/>
    <w:rsid w:val="00A46C7C"/>
    <w:rsid w:val="00A47528"/>
    <w:rsid w:val="00A47945"/>
    <w:rsid w:val="00A47C19"/>
    <w:rsid w:val="00A50D22"/>
    <w:rsid w:val="00A5104E"/>
    <w:rsid w:val="00A5148A"/>
    <w:rsid w:val="00A51796"/>
    <w:rsid w:val="00A518A2"/>
    <w:rsid w:val="00A51FE7"/>
    <w:rsid w:val="00A523E9"/>
    <w:rsid w:val="00A539DA"/>
    <w:rsid w:val="00A53F93"/>
    <w:rsid w:val="00A54FB1"/>
    <w:rsid w:val="00A55918"/>
    <w:rsid w:val="00A5780F"/>
    <w:rsid w:val="00A57CE5"/>
    <w:rsid w:val="00A61272"/>
    <w:rsid w:val="00A61D86"/>
    <w:rsid w:val="00A61DD3"/>
    <w:rsid w:val="00A637C9"/>
    <w:rsid w:val="00A639E2"/>
    <w:rsid w:val="00A64468"/>
    <w:rsid w:val="00A6478D"/>
    <w:rsid w:val="00A65F08"/>
    <w:rsid w:val="00A66193"/>
    <w:rsid w:val="00A66941"/>
    <w:rsid w:val="00A67009"/>
    <w:rsid w:val="00A67033"/>
    <w:rsid w:val="00A67325"/>
    <w:rsid w:val="00A673ED"/>
    <w:rsid w:val="00A70A86"/>
    <w:rsid w:val="00A722EB"/>
    <w:rsid w:val="00A7231C"/>
    <w:rsid w:val="00A72570"/>
    <w:rsid w:val="00A72859"/>
    <w:rsid w:val="00A72BA0"/>
    <w:rsid w:val="00A732AB"/>
    <w:rsid w:val="00A73ACF"/>
    <w:rsid w:val="00A73B54"/>
    <w:rsid w:val="00A73DA8"/>
    <w:rsid w:val="00A74C67"/>
    <w:rsid w:val="00A750C5"/>
    <w:rsid w:val="00A75AA4"/>
    <w:rsid w:val="00A767DC"/>
    <w:rsid w:val="00A76AFC"/>
    <w:rsid w:val="00A76DB3"/>
    <w:rsid w:val="00A77226"/>
    <w:rsid w:val="00A800AF"/>
    <w:rsid w:val="00A80328"/>
    <w:rsid w:val="00A80E68"/>
    <w:rsid w:val="00A8178D"/>
    <w:rsid w:val="00A83264"/>
    <w:rsid w:val="00A84BFE"/>
    <w:rsid w:val="00A85EFC"/>
    <w:rsid w:val="00A8737E"/>
    <w:rsid w:val="00A876BF"/>
    <w:rsid w:val="00A87C8B"/>
    <w:rsid w:val="00A900DB"/>
    <w:rsid w:val="00A9028F"/>
    <w:rsid w:val="00A90379"/>
    <w:rsid w:val="00A91519"/>
    <w:rsid w:val="00A921D2"/>
    <w:rsid w:val="00A921D5"/>
    <w:rsid w:val="00A947D1"/>
    <w:rsid w:val="00A95F11"/>
    <w:rsid w:val="00A971A7"/>
    <w:rsid w:val="00A97DDA"/>
    <w:rsid w:val="00AA07C0"/>
    <w:rsid w:val="00AA108C"/>
    <w:rsid w:val="00AA194B"/>
    <w:rsid w:val="00AA197E"/>
    <w:rsid w:val="00AA2CC2"/>
    <w:rsid w:val="00AA319E"/>
    <w:rsid w:val="00AA497C"/>
    <w:rsid w:val="00AA4B65"/>
    <w:rsid w:val="00AA5422"/>
    <w:rsid w:val="00AA7063"/>
    <w:rsid w:val="00AA7D2C"/>
    <w:rsid w:val="00AB0E50"/>
    <w:rsid w:val="00AB1B42"/>
    <w:rsid w:val="00AB2963"/>
    <w:rsid w:val="00AB2DED"/>
    <w:rsid w:val="00AB3E8E"/>
    <w:rsid w:val="00AB561A"/>
    <w:rsid w:val="00AB56EA"/>
    <w:rsid w:val="00AB59F2"/>
    <w:rsid w:val="00AB6FEA"/>
    <w:rsid w:val="00AB7625"/>
    <w:rsid w:val="00AB7673"/>
    <w:rsid w:val="00AB76D6"/>
    <w:rsid w:val="00AB7E3C"/>
    <w:rsid w:val="00AC1135"/>
    <w:rsid w:val="00AC13DA"/>
    <w:rsid w:val="00AC22F9"/>
    <w:rsid w:val="00AC230E"/>
    <w:rsid w:val="00AC27D8"/>
    <w:rsid w:val="00AC2FBE"/>
    <w:rsid w:val="00AC3D55"/>
    <w:rsid w:val="00AC41CC"/>
    <w:rsid w:val="00AC51E7"/>
    <w:rsid w:val="00AC543E"/>
    <w:rsid w:val="00AC57A1"/>
    <w:rsid w:val="00AC60B6"/>
    <w:rsid w:val="00AC650E"/>
    <w:rsid w:val="00AC66B0"/>
    <w:rsid w:val="00AC6B7C"/>
    <w:rsid w:val="00AC6B92"/>
    <w:rsid w:val="00AC79F2"/>
    <w:rsid w:val="00AD0294"/>
    <w:rsid w:val="00AD04A5"/>
    <w:rsid w:val="00AD1324"/>
    <w:rsid w:val="00AD1360"/>
    <w:rsid w:val="00AD2142"/>
    <w:rsid w:val="00AD2DEE"/>
    <w:rsid w:val="00AD4012"/>
    <w:rsid w:val="00AD4090"/>
    <w:rsid w:val="00AD4314"/>
    <w:rsid w:val="00AD5213"/>
    <w:rsid w:val="00AD521D"/>
    <w:rsid w:val="00AD57F7"/>
    <w:rsid w:val="00AD61C9"/>
    <w:rsid w:val="00AD6C6B"/>
    <w:rsid w:val="00AD7064"/>
    <w:rsid w:val="00AD78EF"/>
    <w:rsid w:val="00AD7D5E"/>
    <w:rsid w:val="00AE1493"/>
    <w:rsid w:val="00AE1A7C"/>
    <w:rsid w:val="00AE20D6"/>
    <w:rsid w:val="00AE2CB1"/>
    <w:rsid w:val="00AE2DAC"/>
    <w:rsid w:val="00AE2DAD"/>
    <w:rsid w:val="00AE36B4"/>
    <w:rsid w:val="00AE419C"/>
    <w:rsid w:val="00AE48AE"/>
    <w:rsid w:val="00AE4940"/>
    <w:rsid w:val="00AE4A66"/>
    <w:rsid w:val="00AE686F"/>
    <w:rsid w:val="00AE6C77"/>
    <w:rsid w:val="00AE6D7E"/>
    <w:rsid w:val="00AE6E0C"/>
    <w:rsid w:val="00AE7552"/>
    <w:rsid w:val="00AE762B"/>
    <w:rsid w:val="00AF0757"/>
    <w:rsid w:val="00AF163D"/>
    <w:rsid w:val="00AF1698"/>
    <w:rsid w:val="00AF284D"/>
    <w:rsid w:val="00AF3C72"/>
    <w:rsid w:val="00AF3F1C"/>
    <w:rsid w:val="00AF4673"/>
    <w:rsid w:val="00AF4C50"/>
    <w:rsid w:val="00AF4F19"/>
    <w:rsid w:val="00AF4FDB"/>
    <w:rsid w:val="00AF579C"/>
    <w:rsid w:val="00AF61FE"/>
    <w:rsid w:val="00AF6BBD"/>
    <w:rsid w:val="00AF6C5B"/>
    <w:rsid w:val="00AF710D"/>
    <w:rsid w:val="00AF7F28"/>
    <w:rsid w:val="00B001F7"/>
    <w:rsid w:val="00B005CE"/>
    <w:rsid w:val="00B00697"/>
    <w:rsid w:val="00B006D8"/>
    <w:rsid w:val="00B00C9E"/>
    <w:rsid w:val="00B0177D"/>
    <w:rsid w:val="00B02B08"/>
    <w:rsid w:val="00B02E23"/>
    <w:rsid w:val="00B03452"/>
    <w:rsid w:val="00B0393C"/>
    <w:rsid w:val="00B03CC9"/>
    <w:rsid w:val="00B048FC"/>
    <w:rsid w:val="00B06A6E"/>
    <w:rsid w:val="00B06D5C"/>
    <w:rsid w:val="00B0797A"/>
    <w:rsid w:val="00B10447"/>
    <w:rsid w:val="00B106E6"/>
    <w:rsid w:val="00B11BE8"/>
    <w:rsid w:val="00B11C7F"/>
    <w:rsid w:val="00B131AC"/>
    <w:rsid w:val="00B131DF"/>
    <w:rsid w:val="00B14009"/>
    <w:rsid w:val="00B14690"/>
    <w:rsid w:val="00B154A7"/>
    <w:rsid w:val="00B1608C"/>
    <w:rsid w:val="00B174EA"/>
    <w:rsid w:val="00B21ABB"/>
    <w:rsid w:val="00B230D5"/>
    <w:rsid w:val="00B23E71"/>
    <w:rsid w:val="00B240BE"/>
    <w:rsid w:val="00B2458F"/>
    <w:rsid w:val="00B25497"/>
    <w:rsid w:val="00B2597C"/>
    <w:rsid w:val="00B26CF9"/>
    <w:rsid w:val="00B26DDD"/>
    <w:rsid w:val="00B2768D"/>
    <w:rsid w:val="00B3094C"/>
    <w:rsid w:val="00B30A53"/>
    <w:rsid w:val="00B30BD9"/>
    <w:rsid w:val="00B3131C"/>
    <w:rsid w:val="00B36830"/>
    <w:rsid w:val="00B40251"/>
    <w:rsid w:val="00B403C3"/>
    <w:rsid w:val="00B417D9"/>
    <w:rsid w:val="00B429D0"/>
    <w:rsid w:val="00B43226"/>
    <w:rsid w:val="00B43431"/>
    <w:rsid w:val="00B43BEB"/>
    <w:rsid w:val="00B447B5"/>
    <w:rsid w:val="00B45097"/>
    <w:rsid w:val="00B46280"/>
    <w:rsid w:val="00B46FB1"/>
    <w:rsid w:val="00B476FD"/>
    <w:rsid w:val="00B47E41"/>
    <w:rsid w:val="00B5039B"/>
    <w:rsid w:val="00B50E8D"/>
    <w:rsid w:val="00B5148F"/>
    <w:rsid w:val="00B51529"/>
    <w:rsid w:val="00B51536"/>
    <w:rsid w:val="00B52A50"/>
    <w:rsid w:val="00B531D6"/>
    <w:rsid w:val="00B53E1C"/>
    <w:rsid w:val="00B545A5"/>
    <w:rsid w:val="00B546D5"/>
    <w:rsid w:val="00B55E0E"/>
    <w:rsid w:val="00B5624C"/>
    <w:rsid w:val="00B56504"/>
    <w:rsid w:val="00B6105E"/>
    <w:rsid w:val="00B611A5"/>
    <w:rsid w:val="00B61203"/>
    <w:rsid w:val="00B61346"/>
    <w:rsid w:val="00B62582"/>
    <w:rsid w:val="00B62B44"/>
    <w:rsid w:val="00B6330C"/>
    <w:rsid w:val="00B633D1"/>
    <w:rsid w:val="00B636E7"/>
    <w:rsid w:val="00B64274"/>
    <w:rsid w:val="00B644DF"/>
    <w:rsid w:val="00B64D14"/>
    <w:rsid w:val="00B6523F"/>
    <w:rsid w:val="00B6594B"/>
    <w:rsid w:val="00B65ABB"/>
    <w:rsid w:val="00B66C7B"/>
    <w:rsid w:val="00B67676"/>
    <w:rsid w:val="00B7030A"/>
    <w:rsid w:val="00B71508"/>
    <w:rsid w:val="00B7251C"/>
    <w:rsid w:val="00B72733"/>
    <w:rsid w:val="00B7319C"/>
    <w:rsid w:val="00B73613"/>
    <w:rsid w:val="00B73B24"/>
    <w:rsid w:val="00B73B5E"/>
    <w:rsid w:val="00B7449C"/>
    <w:rsid w:val="00B755C5"/>
    <w:rsid w:val="00B75907"/>
    <w:rsid w:val="00B75DB8"/>
    <w:rsid w:val="00B76053"/>
    <w:rsid w:val="00B76307"/>
    <w:rsid w:val="00B76A03"/>
    <w:rsid w:val="00B76C75"/>
    <w:rsid w:val="00B76FB8"/>
    <w:rsid w:val="00B775E2"/>
    <w:rsid w:val="00B81154"/>
    <w:rsid w:val="00B81A48"/>
    <w:rsid w:val="00B8245D"/>
    <w:rsid w:val="00B82F7C"/>
    <w:rsid w:val="00B839FD"/>
    <w:rsid w:val="00B8457C"/>
    <w:rsid w:val="00B84850"/>
    <w:rsid w:val="00B84AAA"/>
    <w:rsid w:val="00B84CA1"/>
    <w:rsid w:val="00B8591E"/>
    <w:rsid w:val="00B86AA9"/>
    <w:rsid w:val="00B86BF5"/>
    <w:rsid w:val="00B87540"/>
    <w:rsid w:val="00B87F86"/>
    <w:rsid w:val="00B90E00"/>
    <w:rsid w:val="00B918F5"/>
    <w:rsid w:val="00B91973"/>
    <w:rsid w:val="00B91BB3"/>
    <w:rsid w:val="00B91C60"/>
    <w:rsid w:val="00B93F56"/>
    <w:rsid w:val="00B93FC7"/>
    <w:rsid w:val="00B94D16"/>
    <w:rsid w:val="00B95266"/>
    <w:rsid w:val="00B963FF"/>
    <w:rsid w:val="00B9727B"/>
    <w:rsid w:val="00B97F5A"/>
    <w:rsid w:val="00BA09AC"/>
    <w:rsid w:val="00BA1543"/>
    <w:rsid w:val="00BA29D1"/>
    <w:rsid w:val="00BA2BAD"/>
    <w:rsid w:val="00BA2F3B"/>
    <w:rsid w:val="00BA3616"/>
    <w:rsid w:val="00BA3CF6"/>
    <w:rsid w:val="00BA4580"/>
    <w:rsid w:val="00BA5005"/>
    <w:rsid w:val="00BA57E8"/>
    <w:rsid w:val="00BA57FE"/>
    <w:rsid w:val="00BA5DF5"/>
    <w:rsid w:val="00BA5EE8"/>
    <w:rsid w:val="00BA662F"/>
    <w:rsid w:val="00BA73FA"/>
    <w:rsid w:val="00BA7E43"/>
    <w:rsid w:val="00BB0190"/>
    <w:rsid w:val="00BB0316"/>
    <w:rsid w:val="00BB1138"/>
    <w:rsid w:val="00BB2433"/>
    <w:rsid w:val="00BB2CC4"/>
    <w:rsid w:val="00BB30C3"/>
    <w:rsid w:val="00BB3C4A"/>
    <w:rsid w:val="00BB5518"/>
    <w:rsid w:val="00BB5B6B"/>
    <w:rsid w:val="00BB5BFA"/>
    <w:rsid w:val="00BB5BFF"/>
    <w:rsid w:val="00BB5ECD"/>
    <w:rsid w:val="00BB66E5"/>
    <w:rsid w:val="00BB6E4A"/>
    <w:rsid w:val="00BC00A5"/>
    <w:rsid w:val="00BC0723"/>
    <w:rsid w:val="00BC422D"/>
    <w:rsid w:val="00BC5221"/>
    <w:rsid w:val="00BC6100"/>
    <w:rsid w:val="00BC7131"/>
    <w:rsid w:val="00BC74DD"/>
    <w:rsid w:val="00BC7D65"/>
    <w:rsid w:val="00BC7F41"/>
    <w:rsid w:val="00BD0CA2"/>
    <w:rsid w:val="00BD1DAA"/>
    <w:rsid w:val="00BD21D3"/>
    <w:rsid w:val="00BD3364"/>
    <w:rsid w:val="00BD3A90"/>
    <w:rsid w:val="00BD4EF6"/>
    <w:rsid w:val="00BD548C"/>
    <w:rsid w:val="00BD5558"/>
    <w:rsid w:val="00BD5AB7"/>
    <w:rsid w:val="00BD63A7"/>
    <w:rsid w:val="00BD6601"/>
    <w:rsid w:val="00BD6C6C"/>
    <w:rsid w:val="00BD7A2D"/>
    <w:rsid w:val="00BD7C95"/>
    <w:rsid w:val="00BE177F"/>
    <w:rsid w:val="00BE2495"/>
    <w:rsid w:val="00BE2738"/>
    <w:rsid w:val="00BE2BAB"/>
    <w:rsid w:val="00BE36FC"/>
    <w:rsid w:val="00BE4C26"/>
    <w:rsid w:val="00BE4D7D"/>
    <w:rsid w:val="00BE5544"/>
    <w:rsid w:val="00BE5C19"/>
    <w:rsid w:val="00BE65C8"/>
    <w:rsid w:val="00BE662F"/>
    <w:rsid w:val="00BE6CBD"/>
    <w:rsid w:val="00BE7E2F"/>
    <w:rsid w:val="00BF0E1B"/>
    <w:rsid w:val="00BF0E45"/>
    <w:rsid w:val="00BF11BE"/>
    <w:rsid w:val="00BF142A"/>
    <w:rsid w:val="00BF4F9C"/>
    <w:rsid w:val="00BF5D5F"/>
    <w:rsid w:val="00C00C36"/>
    <w:rsid w:val="00C01CA3"/>
    <w:rsid w:val="00C02A5A"/>
    <w:rsid w:val="00C048EE"/>
    <w:rsid w:val="00C04BA1"/>
    <w:rsid w:val="00C05238"/>
    <w:rsid w:val="00C05EE2"/>
    <w:rsid w:val="00C0668C"/>
    <w:rsid w:val="00C07F2D"/>
    <w:rsid w:val="00C105B8"/>
    <w:rsid w:val="00C12DE3"/>
    <w:rsid w:val="00C13A0C"/>
    <w:rsid w:val="00C13E41"/>
    <w:rsid w:val="00C149BC"/>
    <w:rsid w:val="00C14A0F"/>
    <w:rsid w:val="00C14C93"/>
    <w:rsid w:val="00C14F5D"/>
    <w:rsid w:val="00C15185"/>
    <w:rsid w:val="00C15822"/>
    <w:rsid w:val="00C16EF5"/>
    <w:rsid w:val="00C1764F"/>
    <w:rsid w:val="00C17B77"/>
    <w:rsid w:val="00C20D86"/>
    <w:rsid w:val="00C21E05"/>
    <w:rsid w:val="00C22AA5"/>
    <w:rsid w:val="00C2347A"/>
    <w:rsid w:val="00C236B1"/>
    <w:rsid w:val="00C2373E"/>
    <w:rsid w:val="00C23946"/>
    <w:rsid w:val="00C24436"/>
    <w:rsid w:val="00C24976"/>
    <w:rsid w:val="00C24992"/>
    <w:rsid w:val="00C24D4E"/>
    <w:rsid w:val="00C2523C"/>
    <w:rsid w:val="00C25689"/>
    <w:rsid w:val="00C25858"/>
    <w:rsid w:val="00C26B25"/>
    <w:rsid w:val="00C26CDE"/>
    <w:rsid w:val="00C27608"/>
    <w:rsid w:val="00C30557"/>
    <w:rsid w:val="00C33493"/>
    <w:rsid w:val="00C33E7B"/>
    <w:rsid w:val="00C3469E"/>
    <w:rsid w:val="00C34D49"/>
    <w:rsid w:val="00C353DF"/>
    <w:rsid w:val="00C35889"/>
    <w:rsid w:val="00C40CAB"/>
    <w:rsid w:val="00C41128"/>
    <w:rsid w:val="00C4167D"/>
    <w:rsid w:val="00C41BFC"/>
    <w:rsid w:val="00C41C7D"/>
    <w:rsid w:val="00C42095"/>
    <w:rsid w:val="00C423DB"/>
    <w:rsid w:val="00C42412"/>
    <w:rsid w:val="00C445D3"/>
    <w:rsid w:val="00C44F00"/>
    <w:rsid w:val="00C459AF"/>
    <w:rsid w:val="00C464FE"/>
    <w:rsid w:val="00C46CEB"/>
    <w:rsid w:val="00C47DB5"/>
    <w:rsid w:val="00C50062"/>
    <w:rsid w:val="00C5028A"/>
    <w:rsid w:val="00C505DF"/>
    <w:rsid w:val="00C51321"/>
    <w:rsid w:val="00C54240"/>
    <w:rsid w:val="00C54F4F"/>
    <w:rsid w:val="00C565F8"/>
    <w:rsid w:val="00C57071"/>
    <w:rsid w:val="00C57A7C"/>
    <w:rsid w:val="00C57D53"/>
    <w:rsid w:val="00C60138"/>
    <w:rsid w:val="00C6057B"/>
    <w:rsid w:val="00C60AF1"/>
    <w:rsid w:val="00C60BC3"/>
    <w:rsid w:val="00C61CFF"/>
    <w:rsid w:val="00C61F25"/>
    <w:rsid w:val="00C620F3"/>
    <w:rsid w:val="00C62D5D"/>
    <w:rsid w:val="00C632F0"/>
    <w:rsid w:val="00C63901"/>
    <w:rsid w:val="00C63929"/>
    <w:rsid w:val="00C63C26"/>
    <w:rsid w:val="00C63E8E"/>
    <w:rsid w:val="00C6408B"/>
    <w:rsid w:val="00C64216"/>
    <w:rsid w:val="00C671FD"/>
    <w:rsid w:val="00C672D2"/>
    <w:rsid w:val="00C7092C"/>
    <w:rsid w:val="00C71241"/>
    <w:rsid w:val="00C71338"/>
    <w:rsid w:val="00C716EB"/>
    <w:rsid w:val="00C717E1"/>
    <w:rsid w:val="00C71D43"/>
    <w:rsid w:val="00C7228E"/>
    <w:rsid w:val="00C72A89"/>
    <w:rsid w:val="00C738EF"/>
    <w:rsid w:val="00C73BA1"/>
    <w:rsid w:val="00C73E03"/>
    <w:rsid w:val="00C74443"/>
    <w:rsid w:val="00C74A9D"/>
    <w:rsid w:val="00C74B8E"/>
    <w:rsid w:val="00C7513F"/>
    <w:rsid w:val="00C7531C"/>
    <w:rsid w:val="00C75CD6"/>
    <w:rsid w:val="00C76FC8"/>
    <w:rsid w:val="00C7761F"/>
    <w:rsid w:val="00C8051B"/>
    <w:rsid w:val="00C80CCA"/>
    <w:rsid w:val="00C811A4"/>
    <w:rsid w:val="00C81D39"/>
    <w:rsid w:val="00C81DD3"/>
    <w:rsid w:val="00C8238B"/>
    <w:rsid w:val="00C82691"/>
    <w:rsid w:val="00C82DE1"/>
    <w:rsid w:val="00C831D2"/>
    <w:rsid w:val="00C84669"/>
    <w:rsid w:val="00C85104"/>
    <w:rsid w:val="00C85A2C"/>
    <w:rsid w:val="00C87F80"/>
    <w:rsid w:val="00C91F60"/>
    <w:rsid w:val="00C922CF"/>
    <w:rsid w:val="00C92666"/>
    <w:rsid w:val="00C927E9"/>
    <w:rsid w:val="00C92BAF"/>
    <w:rsid w:val="00C947AF"/>
    <w:rsid w:val="00C96387"/>
    <w:rsid w:val="00C96A77"/>
    <w:rsid w:val="00C96C83"/>
    <w:rsid w:val="00C96D3C"/>
    <w:rsid w:val="00C96E51"/>
    <w:rsid w:val="00C976B1"/>
    <w:rsid w:val="00CA09E3"/>
    <w:rsid w:val="00CA13BD"/>
    <w:rsid w:val="00CA14DF"/>
    <w:rsid w:val="00CA3D71"/>
    <w:rsid w:val="00CA4272"/>
    <w:rsid w:val="00CA5C00"/>
    <w:rsid w:val="00CA5D0C"/>
    <w:rsid w:val="00CA5E46"/>
    <w:rsid w:val="00CA664A"/>
    <w:rsid w:val="00CA670C"/>
    <w:rsid w:val="00CA7767"/>
    <w:rsid w:val="00CA77BE"/>
    <w:rsid w:val="00CB2DF8"/>
    <w:rsid w:val="00CB2FE8"/>
    <w:rsid w:val="00CB3CA5"/>
    <w:rsid w:val="00CB4E07"/>
    <w:rsid w:val="00CB5E59"/>
    <w:rsid w:val="00CB60C2"/>
    <w:rsid w:val="00CB63E9"/>
    <w:rsid w:val="00CB7045"/>
    <w:rsid w:val="00CC11AA"/>
    <w:rsid w:val="00CC1971"/>
    <w:rsid w:val="00CC2E66"/>
    <w:rsid w:val="00CC3076"/>
    <w:rsid w:val="00CC3209"/>
    <w:rsid w:val="00CC32A6"/>
    <w:rsid w:val="00CC3D92"/>
    <w:rsid w:val="00CC41BC"/>
    <w:rsid w:val="00CC44C9"/>
    <w:rsid w:val="00CC4775"/>
    <w:rsid w:val="00CC47E8"/>
    <w:rsid w:val="00CC497B"/>
    <w:rsid w:val="00CC685D"/>
    <w:rsid w:val="00CD13F1"/>
    <w:rsid w:val="00CD1EF5"/>
    <w:rsid w:val="00CD3CCA"/>
    <w:rsid w:val="00CD3D9A"/>
    <w:rsid w:val="00CD4189"/>
    <w:rsid w:val="00CD41D9"/>
    <w:rsid w:val="00CD4288"/>
    <w:rsid w:val="00CD449D"/>
    <w:rsid w:val="00CD52C3"/>
    <w:rsid w:val="00CD54AB"/>
    <w:rsid w:val="00CD61A5"/>
    <w:rsid w:val="00CD6289"/>
    <w:rsid w:val="00CD71E5"/>
    <w:rsid w:val="00CD7625"/>
    <w:rsid w:val="00CE0EB2"/>
    <w:rsid w:val="00CE10BD"/>
    <w:rsid w:val="00CE1CFB"/>
    <w:rsid w:val="00CE1F00"/>
    <w:rsid w:val="00CE251F"/>
    <w:rsid w:val="00CE25AE"/>
    <w:rsid w:val="00CE28B4"/>
    <w:rsid w:val="00CE2CFA"/>
    <w:rsid w:val="00CE304C"/>
    <w:rsid w:val="00CE38F4"/>
    <w:rsid w:val="00CE39FA"/>
    <w:rsid w:val="00CE4020"/>
    <w:rsid w:val="00CE41C9"/>
    <w:rsid w:val="00CE4950"/>
    <w:rsid w:val="00CE4BBD"/>
    <w:rsid w:val="00CE58A1"/>
    <w:rsid w:val="00CE6433"/>
    <w:rsid w:val="00CE6D7B"/>
    <w:rsid w:val="00CE713D"/>
    <w:rsid w:val="00CF0C43"/>
    <w:rsid w:val="00CF0E96"/>
    <w:rsid w:val="00CF1FA5"/>
    <w:rsid w:val="00CF2765"/>
    <w:rsid w:val="00CF2DA9"/>
    <w:rsid w:val="00CF31E7"/>
    <w:rsid w:val="00CF352C"/>
    <w:rsid w:val="00CF359F"/>
    <w:rsid w:val="00CF4228"/>
    <w:rsid w:val="00CF4309"/>
    <w:rsid w:val="00CF44DA"/>
    <w:rsid w:val="00CF48A9"/>
    <w:rsid w:val="00CF5383"/>
    <w:rsid w:val="00CF56BA"/>
    <w:rsid w:val="00CF6620"/>
    <w:rsid w:val="00CF7135"/>
    <w:rsid w:val="00CF7160"/>
    <w:rsid w:val="00CF799B"/>
    <w:rsid w:val="00CF7B03"/>
    <w:rsid w:val="00D005BE"/>
    <w:rsid w:val="00D00C59"/>
    <w:rsid w:val="00D00CCA"/>
    <w:rsid w:val="00D00D53"/>
    <w:rsid w:val="00D01B4A"/>
    <w:rsid w:val="00D032D1"/>
    <w:rsid w:val="00D0447C"/>
    <w:rsid w:val="00D04EDE"/>
    <w:rsid w:val="00D071CD"/>
    <w:rsid w:val="00D073F3"/>
    <w:rsid w:val="00D076AB"/>
    <w:rsid w:val="00D07B91"/>
    <w:rsid w:val="00D07F29"/>
    <w:rsid w:val="00D10339"/>
    <w:rsid w:val="00D10601"/>
    <w:rsid w:val="00D11170"/>
    <w:rsid w:val="00D11977"/>
    <w:rsid w:val="00D12152"/>
    <w:rsid w:val="00D1229F"/>
    <w:rsid w:val="00D1288F"/>
    <w:rsid w:val="00D12AF5"/>
    <w:rsid w:val="00D13252"/>
    <w:rsid w:val="00D15BD9"/>
    <w:rsid w:val="00D16166"/>
    <w:rsid w:val="00D163CC"/>
    <w:rsid w:val="00D164BF"/>
    <w:rsid w:val="00D16FA8"/>
    <w:rsid w:val="00D178B0"/>
    <w:rsid w:val="00D17D56"/>
    <w:rsid w:val="00D21239"/>
    <w:rsid w:val="00D21604"/>
    <w:rsid w:val="00D222A4"/>
    <w:rsid w:val="00D224B3"/>
    <w:rsid w:val="00D231B4"/>
    <w:rsid w:val="00D2382C"/>
    <w:rsid w:val="00D26F90"/>
    <w:rsid w:val="00D272FC"/>
    <w:rsid w:val="00D27B5C"/>
    <w:rsid w:val="00D27CC6"/>
    <w:rsid w:val="00D30504"/>
    <w:rsid w:val="00D30728"/>
    <w:rsid w:val="00D30F0D"/>
    <w:rsid w:val="00D31D9A"/>
    <w:rsid w:val="00D324BA"/>
    <w:rsid w:val="00D3260F"/>
    <w:rsid w:val="00D329D9"/>
    <w:rsid w:val="00D335D0"/>
    <w:rsid w:val="00D33F0F"/>
    <w:rsid w:val="00D340AC"/>
    <w:rsid w:val="00D342F9"/>
    <w:rsid w:val="00D34B0E"/>
    <w:rsid w:val="00D34D10"/>
    <w:rsid w:val="00D350E2"/>
    <w:rsid w:val="00D3680F"/>
    <w:rsid w:val="00D36DD9"/>
    <w:rsid w:val="00D36F7F"/>
    <w:rsid w:val="00D377F7"/>
    <w:rsid w:val="00D402EE"/>
    <w:rsid w:val="00D405CB"/>
    <w:rsid w:val="00D41CD8"/>
    <w:rsid w:val="00D4269F"/>
    <w:rsid w:val="00D429C1"/>
    <w:rsid w:val="00D42CB8"/>
    <w:rsid w:val="00D4327B"/>
    <w:rsid w:val="00D44CA7"/>
    <w:rsid w:val="00D46D28"/>
    <w:rsid w:val="00D46D4E"/>
    <w:rsid w:val="00D5016B"/>
    <w:rsid w:val="00D50247"/>
    <w:rsid w:val="00D5043B"/>
    <w:rsid w:val="00D504AE"/>
    <w:rsid w:val="00D50A8D"/>
    <w:rsid w:val="00D50FCC"/>
    <w:rsid w:val="00D519A1"/>
    <w:rsid w:val="00D51B2B"/>
    <w:rsid w:val="00D51C42"/>
    <w:rsid w:val="00D51E86"/>
    <w:rsid w:val="00D52992"/>
    <w:rsid w:val="00D5439C"/>
    <w:rsid w:val="00D550F0"/>
    <w:rsid w:val="00D554A4"/>
    <w:rsid w:val="00D5552E"/>
    <w:rsid w:val="00D5643A"/>
    <w:rsid w:val="00D574BB"/>
    <w:rsid w:val="00D5759E"/>
    <w:rsid w:val="00D579CC"/>
    <w:rsid w:val="00D57CDB"/>
    <w:rsid w:val="00D61772"/>
    <w:rsid w:val="00D62466"/>
    <w:rsid w:val="00D62D38"/>
    <w:rsid w:val="00D656B7"/>
    <w:rsid w:val="00D65980"/>
    <w:rsid w:val="00D65C06"/>
    <w:rsid w:val="00D66018"/>
    <w:rsid w:val="00D66093"/>
    <w:rsid w:val="00D66DF2"/>
    <w:rsid w:val="00D671F2"/>
    <w:rsid w:val="00D70111"/>
    <w:rsid w:val="00D71E38"/>
    <w:rsid w:val="00D73576"/>
    <w:rsid w:val="00D73745"/>
    <w:rsid w:val="00D7391E"/>
    <w:rsid w:val="00D7494C"/>
    <w:rsid w:val="00D75CCE"/>
    <w:rsid w:val="00D76917"/>
    <w:rsid w:val="00D771AA"/>
    <w:rsid w:val="00D7729C"/>
    <w:rsid w:val="00D77698"/>
    <w:rsid w:val="00D8025E"/>
    <w:rsid w:val="00D81C02"/>
    <w:rsid w:val="00D81F92"/>
    <w:rsid w:val="00D84396"/>
    <w:rsid w:val="00D845D9"/>
    <w:rsid w:val="00D84965"/>
    <w:rsid w:val="00D84E6A"/>
    <w:rsid w:val="00D85149"/>
    <w:rsid w:val="00D85456"/>
    <w:rsid w:val="00D859BD"/>
    <w:rsid w:val="00D861FF"/>
    <w:rsid w:val="00D86542"/>
    <w:rsid w:val="00D87097"/>
    <w:rsid w:val="00D87344"/>
    <w:rsid w:val="00D87454"/>
    <w:rsid w:val="00D875CA"/>
    <w:rsid w:val="00D9056D"/>
    <w:rsid w:val="00D917F0"/>
    <w:rsid w:val="00D92288"/>
    <w:rsid w:val="00D93024"/>
    <w:rsid w:val="00D93483"/>
    <w:rsid w:val="00D93CFE"/>
    <w:rsid w:val="00D93FC8"/>
    <w:rsid w:val="00D9517F"/>
    <w:rsid w:val="00D95D5E"/>
    <w:rsid w:val="00D964C7"/>
    <w:rsid w:val="00D969CE"/>
    <w:rsid w:val="00D97A29"/>
    <w:rsid w:val="00DA035A"/>
    <w:rsid w:val="00DA0792"/>
    <w:rsid w:val="00DA0A27"/>
    <w:rsid w:val="00DA1BA1"/>
    <w:rsid w:val="00DA2E83"/>
    <w:rsid w:val="00DA403E"/>
    <w:rsid w:val="00DA423E"/>
    <w:rsid w:val="00DA44BA"/>
    <w:rsid w:val="00DA49AC"/>
    <w:rsid w:val="00DA53F4"/>
    <w:rsid w:val="00DA5535"/>
    <w:rsid w:val="00DA5A45"/>
    <w:rsid w:val="00DA618D"/>
    <w:rsid w:val="00DA78F7"/>
    <w:rsid w:val="00DA7A9D"/>
    <w:rsid w:val="00DB03D0"/>
    <w:rsid w:val="00DB1666"/>
    <w:rsid w:val="00DB2DAC"/>
    <w:rsid w:val="00DB3026"/>
    <w:rsid w:val="00DB3672"/>
    <w:rsid w:val="00DB3C1D"/>
    <w:rsid w:val="00DB4760"/>
    <w:rsid w:val="00DB4E4A"/>
    <w:rsid w:val="00DB5301"/>
    <w:rsid w:val="00DB5540"/>
    <w:rsid w:val="00DB55BE"/>
    <w:rsid w:val="00DB6128"/>
    <w:rsid w:val="00DB6656"/>
    <w:rsid w:val="00DC11AA"/>
    <w:rsid w:val="00DC1C98"/>
    <w:rsid w:val="00DC1EDA"/>
    <w:rsid w:val="00DC2B59"/>
    <w:rsid w:val="00DC2F21"/>
    <w:rsid w:val="00DC36A6"/>
    <w:rsid w:val="00DC412F"/>
    <w:rsid w:val="00DC4A63"/>
    <w:rsid w:val="00DC4BFE"/>
    <w:rsid w:val="00DC4C42"/>
    <w:rsid w:val="00DC51A3"/>
    <w:rsid w:val="00DC5287"/>
    <w:rsid w:val="00DC52DA"/>
    <w:rsid w:val="00DC5675"/>
    <w:rsid w:val="00DC69FC"/>
    <w:rsid w:val="00DC756E"/>
    <w:rsid w:val="00DC785F"/>
    <w:rsid w:val="00DC78B2"/>
    <w:rsid w:val="00DD1CE3"/>
    <w:rsid w:val="00DD2506"/>
    <w:rsid w:val="00DD26CE"/>
    <w:rsid w:val="00DD34C7"/>
    <w:rsid w:val="00DD37AA"/>
    <w:rsid w:val="00DD3B23"/>
    <w:rsid w:val="00DD3B4E"/>
    <w:rsid w:val="00DD5053"/>
    <w:rsid w:val="00DD5297"/>
    <w:rsid w:val="00DD6632"/>
    <w:rsid w:val="00DD7582"/>
    <w:rsid w:val="00DD786E"/>
    <w:rsid w:val="00DE02AD"/>
    <w:rsid w:val="00DE0502"/>
    <w:rsid w:val="00DE050C"/>
    <w:rsid w:val="00DE0E70"/>
    <w:rsid w:val="00DE0F17"/>
    <w:rsid w:val="00DE13C8"/>
    <w:rsid w:val="00DE15F4"/>
    <w:rsid w:val="00DE2934"/>
    <w:rsid w:val="00DE2DFD"/>
    <w:rsid w:val="00DE2F13"/>
    <w:rsid w:val="00DE3173"/>
    <w:rsid w:val="00DE375A"/>
    <w:rsid w:val="00DE4A8C"/>
    <w:rsid w:val="00DE5E2C"/>
    <w:rsid w:val="00DE5F32"/>
    <w:rsid w:val="00DE63E9"/>
    <w:rsid w:val="00DE6FB1"/>
    <w:rsid w:val="00DE7352"/>
    <w:rsid w:val="00DE7D89"/>
    <w:rsid w:val="00DE7D94"/>
    <w:rsid w:val="00DF02EB"/>
    <w:rsid w:val="00DF092F"/>
    <w:rsid w:val="00DF109A"/>
    <w:rsid w:val="00DF1573"/>
    <w:rsid w:val="00DF2928"/>
    <w:rsid w:val="00DF2CAC"/>
    <w:rsid w:val="00DF31AF"/>
    <w:rsid w:val="00DF3323"/>
    <w:rsid w:val="00DF4477"/>
    <w:rsid w:val="00DF469F"/>
    <w:rsid w:val="00DF4857"/>
    <w:rsid w:val="00DF4B7B"/>
    <w:rsid w:val="00DF4B9E"/>
    <w:rsid w:val="00DF506D"/>
    <w:rsid w:val="00DF56DA"/>
    <w:rsid w:val="00DF5C54"/>
    <w:rsid w:val="00DF66E4"/>
    <w:rsid w:val="00DF78BD"/>
    <w:rsid w:val="00E00049"/>
    <w:rsid w:val="00E00776"/>
    <w:rsid w:val="00E01117"/>
    <w:rsid w:val="00E027CD"/>
    <w:rsid w:val="00E027EC"/>
    <w:rsid w:val="00E03AA5"/>
    <w:rsid w:val="00E04BAD"/>
    <w:rsid w:val="00E05C51"/>
    <w:rsid w:val="00E05FEB"/>
    <w:rsid w:val="00E06030"/>
    <w:rsid w:val="00E060ED"/>
    <w:rsid w:val="00E0621B"/>
    <w:rsid w:val="00E06EF2"/>
    <w:rsid w:val="00E072E6"/>
    <w:rsid w:val="00E07A3F"/>
    <w:rsid w:val="00E10D8F"/>
    <w:rsid w:val="00E1117B"/>
    <w:rsid w:val="00E127DD"/>
    <w:rsid w:val="00E133BD"/>
    <w:rsid w:val="00E14363"/>
    <w:rsid w:val="00E15659"/>
    <w:rsid w:val="00E158F6"/>
    <w:rsid w:val="00E161F0"/>
    <w:rsid w:val="00E1641F"/>
    <w:rsid w:val="00E17206"/>
    <w:rsid w:val="00E2012F"/>
    <w:rsid w:val="00E20BF2"/>
    <w:rsid w:val="00E21218"/>
    <w:rsid w:val="00E21294"/>
    <w:rsid w:val="00E22F0D"/>
    <w:rsid w:val="00E23350"/>
    <w:rsid w:val="00E238B0"/>
    <w:rsid w:val="00E23FBE"/>
    <w:rsid w:val="00E2554F"/>
    <w:rsid w:val="00E2589F"/>
    <w:rsid w:val="00E26E1D"/>
    <w:rsid w:val="00E27278"/>
    <w:rsid w:val="00E27309"/>
    <w:rsid w:val="00E27B58"/>
    <w:rsid w:val="00E27C8B"/>
    <w:rsid w:val="00E31786"/>
    <w:rsid w:val="00E318CF"/>
    <w:rsid w:val="00E31A63"/>
    <w:rsid w:val="00E31ECC"/>
    <w:rsid w:val="00E31FBA"/>
    <w:rsid w:val="00E3220C"/>
    <w:rsid w:val="00E32FF8"/>
    <w:rsid w:val="00E33021"/>
    <w:rsid w:val="00E332C8"/>
    <w:rsid w:val="00E33522"/>
    <w:rsid w:val="00E33AA4"/>
    <w:rsid w:val="00E34D1F"/>
    <w:rsid w:val="00E35655"/>
    <w:rsid w:val="00E35EAB"/>
    <w:rsid w:val="00E35F54"/>
    <w:rsid w:val="00E37BD6"/>
    <w:rsid w:val="00E417DB"/>
    <w:rsid w:val="00E41B27"/>
    <w:rsid w:val="00E43525"/>
    <w:rsid w:val="00E43873"/>
    <w:rsid w:val="00E43EE9"/>
    <w:rsid w:val="00E456B5"/>
    <w:rsid w:val="00E45947"/>
    <w:rsid w:val="00E463B2"/>
    <w:rsid w:val="00E46A0A"/>
    <w:rsid w:val="00E46D8F"/>
    <w:rsid w:val="00E47172"/>
    <w:rsid w:val="00E47254"/>
    <w:rsid w:val="00E47551"/>
    <w:rsid w:val="00E47AE5"/>
    <w:rsid w:val="00E505EF"/>
    <w:rsid w:val="00E507A2"/>
    <w:rsid w:val="00E51A22"/>
    <w:rsid w:val="00E522BB"/>
    <w:rsid w:val="00E5303F"/>
    <w:rsid w:val="00E53878"/>
    <w:rsid w:val="00E53A26"/>
    <w:rsid w:val="00E54711"/>
    <w:rsid w:val="00E547E9"/>
    <w:rsid w:val="00E559AD"/>
    <w:rsid w:val="00E56AC3"/>
    <w:rsid w:val="00E57982"/>
    <w:rsid w:val="00E57E4F"/>
    <w:rsid w:val="00E62C02"/>
    <w:rsid w:val="00E62CB2"/>
    <w:rsid w:val="00E63750"/>
    <w:rsid w:val="00E63D4F"/>
    <w:rsid w:val="00E63ED0"/>
    <w:rsid w:val="00E64E52"/>
    <w:rsid w:val="00E651DB"/>
    <w:rsid w:val="00E657F0"/>
    <w:rsid w:val="00E66E42"/>
    <w:rsid w:val="00E70400"/>
    <w:rsid w:val="00E70F4C"/>
    <w:rsid w:val="00E71506"/>
    <w:rsid w:val="00E71F29"/>
    <w:rsid w:val="00E73EF8"/>
    <w:rsid w:val="00E75012"/>
    <w:rsid w:val="00E7522D"/>
    <w:rsid w:val="00E7602C"/>
    <w:rsid w:val="00E76E98"/>
    <w:rsid w:val="00E77014"/>
    <w:rsid w:val="00E773ED"/>
    <w:rsid w:val="00E800B4"/>
    <w:rsid w:val="00E80CFA"/>
    <w:rsid w:val="00E81706"/>
    <w:rsid w:val="00E81F2D"/>
    <w:rsid w:val="00E8345D"/>
    <w:rsid w:val="00E83A29"/>
    <w:rsid w:val="00E83CAF"/>
    <w:rsid w:val="00E84A17"/>
    <w:rsid w:val="00E861E4"/>
    <w:rsid w:val="00E86888"/>
    <w:rsid w:val="00E87A4A"/>
    <w:rsid w:val="00E87AAD"/>
    <w:rsid w:val="00E901F5"/>
    <w:rsid w:val="00E90AC0"/>
    <w:rsid w:val="00E912BD"/>
    <w:rsid w:val="00E93F16"/>
    <w:rsid w:val="00E93F8C"/>
    <w:rsid w:val="00E94395"/>
    <w:rsid w:val="00E955D9"/>
    <w:rsid w:val="00E97F44"/>
    <w:rsid w:val="00EA1004"/>
    <w:rsid w:val="00EA1E1D"/>
    <w:rsid w:val="00EA40A7"/>
    <w:rsid w:val="00EA4D91"/>
    <w:rsid w:val="00EA58D6"/>
    <w:rsid w:val="00EA6065"/>
    <w:rsid w:val="00EA6E45"/>
    <w:rsid w:val="00EA73E8"/>
    <w:rsid w:val="00EB05DE"/>
    <w:rsid w:val="00EB0876"/>
    <w:rsid w:val="00EB0B66"/>
    <w:rsid w:val="00EB2145"/>
    <w:rsid w:val="00EB2287"/>
    <w:rsid w:val="00EB238D"/>
    <w:rsid w:val="00EB29D8"/>
    <w:rsid w:val="00EB2C99"/>
    <w:rsid w:val="00EB4B92"/>
    <w:rsid w:val="00EB5055"/>
    <w:rsid w:val="00EB592F"/>
    <w:rsid w:val="00EB5E87"/>
    <w:rsid w:val="00EB693E"/>
    <w:rsid w:val="00EB6BD6"/>
    <w:rsid w:val="00EB70FF"/>
    <w:rsid w:val="00EB7CE1"/>
    <w:rsid w:val="00EC0596"/>
    <w:rsid w:val="00EC0A1A"/>
    <w:rsid w:val="00EC0E52"/>
    <w:rsid w:val="00EC1FC4"/>
    <w:rsid w:val="00EC545D"/>
    <w:rsid w:val="00EC626C"/>
    <w:rsid w:val="00EC681B"/>
    <w:rsid w:val="00ED1B5B"/>
    <w:rsid w:val="00ED1EBE"/>
    <w:rsid w:val="00ED2359"/>
    <w:rsid w:val="00ED2588"/>
    <w:rsid w:val="00ED26C9"/>
    <w:rsid w:val="00ED460D"/>
    <w:rsid w:val="00ED5E9D"/>
    <w:rsid w:val="00ED620B"/>
    <w:rsid w:val="00ED6A86"/>
    <w:rsid w:val="00ED7004"/>
    <w:rsid w:val="00EE076B"/>
    <w:rsid w:val="00EE0E10"/>
    <w:rsid w:val="00EE1177"/>
    <w:rsid w:val="00EE16BE"/>
    <w:rsid w:val="00EE1944"/>
    <w:rsid w:val="00EE20DC"/>
    <w:rsid w:val="00EE2641"/>
    <w:rsid w:val="00EE2680"/>
    <w:rsid w:val="00EE3194"/>
    <w:rsid w:val="00EE35CD"/>
    <w:rsid w:val="00EE442A"/>
    <w:rsid w:val="00EE4F95"/>
    <w:rsid w:val="00EE5134"/>
    <w:rsid w:val="00EE52F5"/>
    <w:rsid w:val="00EE58EE"/>
    <w:rsid w:val="00EE6987"/>
    <w:rsid w:val="00EE79DF"/>
    <w:rsid w:val="00EE7E2C"/>
    <w:rsid w:val="00EF018B"/>
    <w:rsid w:val="00EF0193"/>
    <w:rsid w:val="00EF01A8"/>
    <w:rsid w:val="00EF01F6"/>
    <w:rsid w:val="00EF0889"/>
    <w:rsid w:val="00EF0F98"/>
    <w:rsid w:val="00EF1685"/>
    <w:rsid w:val="00EF229D"/>
    <w:rsid w:val="00EF24A6"/>
    <w:rsid w:val="00EF29F1"/>
    <w:rsid w:val="00EF357D"/>
    <w:rsid w:val="00EF3F5E"/>
    <w:rsid w:val="00EF4E74"/>
    <w:rsid w:val="00EF5472"/>
    <w:rsid w:val="00EF616D"/>
    <w:rsid w:val="00EF64D4"/>
    <w:rsid w:val="00EF6E66"/>
    <w:rsid w:val="00F00AB0"/>
    <w:rsid w:val="00F01FE7"/>
    <w:rsid w:val="00F02578"/>
    <w:rsid w:val="00F027FE"/>
    <w:rsid w:val="00F03146"/>
    <w:rsid w:val="00F034E6"/>
    <w:rsid w:val="00F03CCE"/>
    <w:rsid w:val="00F04F57"/>
    <w:rsid w:val="00F05188"/>
    <w:rsid w:val="00F05259"/>
    <w:rsid w:val="00F06A63"/>
    <w:rsid w:val="00F06C75"/>
    <w:rsid w:val="00F06E2C"/>
    <w:rsid w:val="00F078D0"/>
    <w:rsid w:val="00F07CC4"/>
    <w:rsid w:val="00F1084B"/>
    <w:rsid w:val="00F126E9"/>
    <w:rsid w:val="00F134E8"/>
    <w:rsid w:val="00F13930"/>
    <w:rsid w:val="00F13AA6"/>
    <w:rsid w:val="00F13C27"/>
    <w:rsid w:val="00F14E1A"/>
    <w:rsid w:val="00F150F2"/>
    <w:rsid w:val="00F163FB"/>
    <w:rsid w:val="00F16480"/>
    <w:rsid w:val="00F16FB7"/>
    <w:rsid w:val="00F16FD2"/>
    <w:rsid w:val="00F17587"/>
    <w:rsid w:val="00F17645"/>
    <w:rsid w:val="00F176BF"/>
    <w:rsid w:val="00F177F1"/>
    <w:rsid w:val="00F20789"/>
    <w:rsid w:val="00F20CEA"/>
    <w:rsid w:val="00F215E9"/>
    <w:rsid w:val="00F217FD"/>
    <w:rsid w:val="00F227C9"/>
    <w:rsid w:val="00F23137"/>
    <w:rsid w:val="00F23EB3"/>
    <w:rsid w:val="00F2589A"/>
    <w:rsid w:val="00F264F6"/>
    <w:rsid w:val="00F26C91"/>
    <w:rsid w:val="00F271C6"/>
    <w:rsid w:val="00F27364"/>
    <w:rsid w:val="00F276DD"/>
    <w:rsid w:val="00F27F33"/>
    <w:rsid w:val="00F302B8"/>
    <w:rsid w:val="00F310BB"/>
    <w:rsid w:val="00F314F0"/>
    <w:rsid w:val="00F31A9D"/>
    <w:rsid w:val="00F31CAA"/>
    <w:rsid w:val="00F33187"/>
    <w:rsid w:val="00F347C3"/>
    <w:rsid w:val="00F34E66"/>
    <w:rsid w:val="00F35087"/>
    <w:rsid w:val="00F35DB8"/>
    <w:rsid w:val="00F35FEC"/>
    <w:rsid w:val="00F35FF0"/>
    <w:rsid w:val="00F36427"/>
    <w:rsid w:val="00F3645B"/>
    <w:rsid w:val="00F36497"/>
    <w:rsid w:val="00F3680B"/>
    <w:rsid w:val="00F369D7"/>
    <w:rsid w:val="00F3702F"/>
    <w:rsid w:val="00F379D5"/>
    <w:rsid w:val="00F37A09"/>
    <w:rsid w:val="00F37DE3"/>
    <w:rsid w:val="00F405FC"/>
    <w:rsid w:val="00F410E8"/>
    <w:rsid w:val="00F41392"/>
    <w:rsid w:val="00F41C4B"/>
    <w:rsid w:val="00F42198"/>
    <w:rsid w:val="00F42281"/>
    <w:rsid w:val="00F4229A"/>
    <w:rsid w:val="00F430B5"/>
    <w:rsid w:val="00F442D1"/>
    <w:rsid w:val="00F442E5"/>
    <w:rsid w:val="00F4473A"/>
    <w:rsid w:val="00F45132"/>
    <w:rsid w:val="00F45861"/>
    <w:rsid w:val="00F46323"/>
    <w:rsid w:val="00F46524"/>
    <w:rsid w:val="00F479B9"/>
    <w:rsid w:val="00F479D6"/>
    <w:rsid w:val="00F51469"/>
    <w:rsid w:val="00F54B07"/>
    <w:rsid w:val="00F54F49"/>
    <w:rsid w:val="00F550D0"/>
    <w:rsid w:val="00F56317"/>
    <w:rsid w:val="00F56699"/>
    <w:rsid w:val="00F56916"/>
    <w:rsid w:val="00F601F2"/>
    <w:rsid w:val="00F60612"/>
    <w:rsid w:val="00F60C12"/>
    <w:rsid w:val="00F60D4D"/>
    <w:rsid w:val="00F61035"/>
    <w:rsid w:val="00F613AB"/>
    <w:rsid w:val="00F61913"/>
    <w:rsid w:val="00F61F7D"/>
    <w:rsid w:val="00F62045"/>
    <w:rsid w:val="00F6216C"/>
    <w:rsid w:val="00F6238D"/>
    <w:rsid w:val="00F629F7"/>
    <w:rsid w:val="00F62A77"/>
    <w:rsid w:val="00F62B62"/>
    <w:rsid w:val="00F62C0C"/>
    <w:rsid w:val="00F64548"/>
    <w:rsid w:val="00F64552"/>
    <w:rsid w:val="00F646F0"/>
    <w:rsid w:val="00F65E44"/>
    <w:rsid w:val="00F66840"/>
    <w:rsid w:val="00F66D19"/>
    <w:rsid w:val="00F67819"/>
    <w:rsid w:val="00F67A38"/>
    <w:rsid w:val="00F7009C"/>
    <w:rsid w:val="00F710A6"/>
    <w:rsid w:val="00F715BB"/>
    <w:rsid w:val="00F7168A"/>
    <w:rsid w:val="00F73FCC"/>
    <w:rsid w:val="00F75119"/>
    <w:rsid w:val="00F75BA1"/>
    <w:rsid w:val="00F764ED"/>
    <w:rsid w:val="00F76BDC"/>
    <w:rsid w:val="00F7787B"/>
    <w:rsid w:val="00F805C4"/>
    <w:rsid w:val="00F824A5"/>
    <w:rsid w:val="00F8262A"/>
    <w:rsid w:val="00F82823"/>
    <w:rsid w:val="00F828EF"/>
    <w:rsid w:val="00F843E4"/>
    <w:rsid w:val="00F84FA4"/>
    <w:rsid w:val="00F851BF"/>
    <w:rsid w:val="00F85207"/>
    <w:rsid w:val="00F85C76"/>
    <w:rsid w:val="00F864FB"/>
    <w:rsid w:val="00F86A6B"/>
    <w:rsid w:val="00F86D8D"/>
    <w:rsid w:val="00F86EF2"/>
    <w:rsid w:val="00F8717D"/>
    <w:rsid w:val="00F87A49"/>
    <w:rsid w:val="00F87C86"/>
    <w:rsid w:val="00F90C8A"/>
    <w:rsid w:val="00F92865"/>
    <w:rsid w:val="00F93477"/>
    <w:rsid w:val="00F93728"/>
    <w:rsid w:val="00F93E4C"/>
    <w:rsid w:val="00F94ADF"/>
    <w:rsid w:val="00F94E51"/>
    <w:rsid w:val="00F95F7A"/>
    <w:rsid w:val="00F9797C"/>
    <w:rsid w:val="00FA034C"/>
    <w:rsid w:val="00FA0648"/>
    <w:rsid w:val="00FA0C3E"/>
    <w:rsid w:val="00FA0C6A"/>
    <w:rsid w:val="00FA14A5"/>
    <w:rsid w:val="00FA1C65"/>
    <w:rsid w:val="00FA1D72"/>
    <w:rsid w:val="00FA27E1"/>
    <w:rsid w:val="00FA2A1B"/>
    <w:rsid w:val="00FA2F9A"/>
    <w:rsid w:val="00FA4843"/>
    <w:rsid w:val="00FA4AC3"/>
    <w:rsid w:val="00FA4D43"/>
    <w:rsid w:val="00FA64B5"/>
    <w:rsid w:val="00FA664A"/>
    <w:rsid w:val="00FA6A67"/>
    <w:rsid w:val="00FA6A75"/>
    <w:rsid w:val="00FB0697"/>
    <w:rsid w:val="00FB06AA"/>
    <w:rsid w:val="00FB0EA6"/>
    <w:rsid w:val="00FB177F"/>
    <w:rsid w:val="00FB1860"/>
    <w:rsid w:val="00FB22D2"/>
    <w:rsid w:val="00FB3189"/>
    <w:rsid w:val="00FB4877"/>
    <w:rsid w:val="00FB7A09"/>
    <w:rsid w:val="00FB7AA4"/>
    <w:rsid w:val="00FB7AE5"/>
    <w:rsid w:val="00FC0026"/>
    <w:rsid w:val="00FC10DD"/>
    <w:rsid w:val="00FC19AA"/>
    <w:rsid w:val="00FC1FA5"/>
    <w:rsid w:val="00FC47CA"/>
    <w:rsid w:val="00FC4827"/>
    <w:rsid w:val="00FC4A11"/>
    <w:rsid w:val="00FC532E"/>
    <w:rsid w:val="00FC5D69"/>
    <w:rsid w:val="00FC638D"/>
    <w:rsid w:val="00FC6470"/>
    <w:rsid w:val="00FD0291"/>
    <w:rsid w:val="00FD0435"/>
    <w:rsid w:val="00FD0918"/>
    <w:rsid w:val="00FD0FAB"/>
    <w:rsid w:val="00FD2669"/>
    <w:rsid w:val="00FD2BC7"/>
    <w:rsid w:val="00FD2BF9"/>
    <w:rsid w:val="00FD4B2D"/>
    <w:rsid w:val="00FD5075"/>
    <w:rsid w:val="00FD5FF8"/>
    <w:rsid w:val="00FD6AFE"/>
    <w:rsid w:val="00FD7A09"/>
    <w:rsid w:val="00FE0DD9"/>
    <w:rsid w:val="00FE187E"/>
    <w:rsid w:val="00FE1F23"/>
    <w:rsid w:val="00FE2042"/>
    <w:rsid w:val="00FE2387"/>
    <w:rsid w:val="00FE31DE"/>
    <w:rsid w:val="00FE44C3"/>
    <w:rsid w:val="00FE44E9"/>
    <w:rsid w:val="00FE613D"/>
    <w:rsid w:val="00FE726A"/>
    <w:rsid w:val="00FE748A"/>
    <w:rsid w:val="00FF0BFF"/>
    <w:rsid w:val="00FF2BA6"/>
    <w:rsid w:val="00FF357B"/>
    <w:rsid w:val="00FF4285"/>
    <w:rsid w:val="00FF4CDA"/>
    <w:rsid w:val="00FF4DBD"/>
    <w:rsid w:val="00FF4E83"/>
    <w:rsid w:val="00FF530A"/>
    <w:rsid w:val="00FF6415"/>
    <w:rsid w:val="00FF7674"/>
    <w:rsid w:val="00FF7AC6"/>
    <w:rsid w:val="00FF7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fillcolor="white" stroke="f">
      <v:fill color="white"/>
      <v:stroke on="f"/>
    </o:shapedefaults>
    <o:shapelayout v:ext="edit">
      <o:idmap v:ext="edit" data="1"/>
    </o:shapelayout>
  </w:shapeDefaults>
  <w:decimalSymbol w:val="."/>
  <w:listSeparator w:val=","/>
  <w14:docId w14:val="2231B3A2"/>
  <w15:docId w15:val="{347BFDF3-700C-4D5D-AD7C-65CD9599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A00"/>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2B5A00"/>
    <w:pPr>
      <w:keepNext/>
      <w:numPr>
        <w:numId w:val="1"/>
      </w:numPr>
      <w:spacing w:before="240" w:after="60"/>
      <w:outlineLvl w:val="0"/>
    </w:pPr>
    <w:rPr>
      <w:rFonts w:cs="Arial"/>
      <w:b/>
      <w:bCs/>
      <w:color w:val="003767"/>
      <w:kern w:val="32"/>
      <w:sz w:val="32"/>
      <w:szCs w:val="32"/>
    </w:rPr>
  </w:style>
  <w:style w:type="paragraph" w:styleId="Heading2">
    <w:name w:val="heading 2"/>
    <w:basedOn w:val="Normal"/>
    <w:next w:val="Normal"/>
    <w:link w:val="Heading2Char"/>
    <w:qFormat/>
    <w:rsid w:val="002B5A00"/>
    <w:pPr>
      <w:keepNext/>
      <w:numPr>
        <w:ilvl w:val="1"/>
        <w:numId w:val="1"/>
      </w:numPr>
      <w:spacing w:before="240" w:after="60"/>
      <w:jc w:val="both"/>
      <w:outlineLvl w:val="1"/>
    </w:pPr>
    <w:rPr>
      <w:rFonts w:cs="Arial"/>
      <w:b/>
      <w:bCs/>
      <w:i/>
      <w:iCs/>
      <w:sz w:val="28"/>
      <w:szCs w:val="28"/>
    </w:rPr>
  </w:style>
  <w:style w:type="paragraph" w:styleId="Heading3">
    <w:name w:val="heading 3"/>
    <w:basedOn w:val="Normal"/>
    <w:next w:val="Normal"/>
    <w:link w:val="Heading3Char"/>
    <w:qFormat/>
    <w:rsid w:val="002B5A00"/>
    <w:pPr>
      <w:keepNext/>
      <w:numPr>
        <w:ilvl w:val="2"/>
        <w:numId w:val="1"/>
      </w:numPr>
      <w:spacing w:before="240" w:after="60"/>
      <w:jc w:val="both"/>
      <w:outlineLvl w:val="2"/>
    </w:pPr>
    <w:rPr>
      <w:rFonts w:cs="Arial"/>
      <w:b/>
      <w:bCs/>
      <w:sz w:val="26"/>
      <w:szCs w:val="26"/>
    </w:rPr>
  </w:style>
  <w:style w:type="paragraph" w:styleId="Heading4">
    <w:name w:val="heading 4"/>
    <w:basedOn w:val="Normal"/>
    <w:next w:val="Normal"/>
    <w:link w:val="Heading4Char"/>
    <w:qFormat/>
    <w:rsid w:val="002B5A0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2B5A0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2B5A0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54E3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4E3C"/>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54E3C"/>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A00"/>
    <w:rPr>
      <w:rFonts w:ascii="Arial" w:eastAsia="Times New Roman" w:hAnsi="Arial" w:cs="Arial"/>
      <w:b/>
      <w:bCs/>
      <w:color w:val="003767"/>
      <w:kern w:val="32"/>
      <w:sz w:val="32"/>
      <w:szCs w:val="32"/>
    </w:rPr>
  </w:style>
  <w:style w:type="character" w:customStyle="1" w:styleId="Heading2Char">
    <w:name w:val="Heading 2 Char"/>
    <w:basedOn w:val="DefaultParagraphFont"/>
    <w:link w:val="Heading2"/>
    <w:rsid w:val="002B5A00"/>
    <w:rPr>
      <w:rFonts w:ascii="Arial" w:eastAsia="Times New Roman" w:hAnsi="Arial" w:cs="Arial"/>
      <w:b/>
      <w:bCs/>
      <w:i/>
      <w:iCs/>
      <w:sz w:val="28"/>
      <w:szCs w:val="28"/>
    </w:rPr>
  </w:style>
  <w:style w:type="character" w:customStyle="1" w:styleId="Heading3Char">
    <w:name w:val="Heading 3 Char"/>
    <w:basedOn w:val="DefaultParagraphFont"/>
    <w:link w:val="Heading3"/>
    <w:rsid w:val="002B5A00"/>
    <w:rPr>
      <w:rFonts w:ascii="Arial" w:eastAsia="Times New Roman" w:hAnsi="Arial" w:cs="Arial"/>
      <w:b/>
      <w:bCs/>
      <w:sz w:val="26"/>
      <w:szCs w:val="26"/>
    </w:rPr>
  </w:style>
  <w:style w:type="character" w:customStyle="1" w:styleId="Heading4Char">
    <w:name w:val="Heading 4 Char"/>
    <w:basedOn w:val="DefaultParagraphFont"/>
    <w:link w:val="Heading4"/>
    <w:rsid w:val="002B5A00"/>
    <w:rPr>
      <w:rFonts w:ascii="Arial" w:eastAsia="Times New Roman" w:hAnsi="Arial" w:cs="Times New Roman"/>
      <w:b/>
      <w:bCs/>
      <w:sz w:val="28"/>
      <w:szCs w:val="28"/>
    </w:rPr>
  </w:style>
  <w:style w:type="character" w:customStyle="1" w:styleId="Heading5Char">
    <w:name w:val="Heading 5 Char"/>
    <w:basedOn w:val="DefaultParagraphFont"/>
    <w:link w:val="Heading5"/>
    <w:rsid w:val="002B5A00"/>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2B5A00"/>
    <w:rPr>
      <w:rFonts w:ascii="Arial" w:eastAsia="Times New Roman" w:hAnsi="Arial" w:cs="Times New Roman"/>
      <w:b/>
      <w:bCs/>
    </w:rPr>
  </w:style>
  <w:style w:type="paragraph" w:styleId="Footer">
    <w:name w:val="footer"/>
    <w:basedOn w:val="Normal"/>
    <w:link w:val="FooterChar"/>
    <w:uiPriority w:val="99"/>
    <w:rsid w:val="002B5A00"/>
    <w:pPr>
      <w:tabs>
        <w:tab w:val="center" w:pos="4153"/>
        <w:tab w:val="right" w:pos="8306"/>
      </w:tabs>
      <w:jc w:val="both"/>
    </w:pPr>
    <w:rPr>
      <w:sz w:val="16"/>
    </w:rPr>
  </w:style>
  <w:style w:type="character" w:customStyle="1" w:styleId="FooterChar">
    <w:name w:val="Footer Char"/>
    <w:basedOn w:val="DefaultParagraphFont"/>
    <w:link w:val="Footer"/>
    <w:uiPriority w:val="99"/>
    <w:rsid w:val="002B5A00"/>
    <w:rPr>
      <w:rFonts w:ascii="Arial" w:eastAsia="Times New Roman" w:hAnsi="Arial" w:cs="Times New Roman"/>
      <w:sz w:val="16"/>
      <w:szCs w:val="24"/>
    </w:rPr>
  </w:style>
  <w:style w:type="character" w:styleId="PageNumber">
    <w:name w:val="page number"/>
    <w:basedOn w:val="DefaultParagraphFont"/>
    <w:rsid w:val="002B5A00"/>
  </w:style>
  <w:style w:type="character" w:styleId="Hyperlink">
    <w:name w:val="Hyperlink"/>
    <w:basedOn w:val="DefaultParagraphFont"/>
    <w:uiPriority w:val="99"/>
    <w:rsid w:val="002B5A00"/>
    <w:rPr>
      <w:color w:val="0000FF"/>
      <w:u w:val="single"/>
    </w:rPr>
  </w:style>
  <w:style w:type="paragraph" w:styleId="BodyText">
    <w:name w:val="Body Text"/>
    <w:basedOn w:val="Normal"/>
    <w:link w:val="BodyTextChar"/>
    <w:rsid w:val="002B5A00"/>
    <w:pPr>
      <w:spacing w:after="120"/>
      <w:jc w:val="both"/>
    </w:pPr>
    <w:rPr>
      <w:rFonts w:cs="Arial"/>
      <w:bCs/>
      <w:sz w:val="16"/>
    </w:rPr>
  </w:style>
  <w:style w:type="character" w:customStyle="1" w:styleId="BodyTextChar">
    <w:name w:val="Body Text Char"/>
    <w:basedOn w:val="DefaultParagraphFont"/>
    <w:link w:val="BodyText"/>
    <w:rsid w:val="002B5A00"/>
    <w:rPr>
      <w:rFonts w:ascii="Arial" w:eastAsia="Times New Roman" w:hAnsi="Arial" w:cs="Arial"/>
      <w:bCs/>
      <w:sz w:val="16"/>
      <w:szCs w:val="24"/>
    </w:rPr>
  </w:style>
  <w:style w:type="paragraph" w:styleId="BodyText2">
    <w:name w:val="Body Text 2"/>
    <w:basedOn w:val="Normal"/>
    <w:link w:val="BodyText2Char"/>
    <w:rsid w:val="002B5A00"/>
    <w:pPr>
      <w:jc w:val="both"/>
    </w:pPr>
    <w:rPr>
      <w:b/>
      <w:bCs/>
      <w:color w:val="000080"/>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dyText2Char">
    <w:name w:val="Body Text 2 Char"/>
    <w:basedOn w:val="DefaultParagraphFont"/>
    <w:link w:val="BodyText2"/>
    <w:rsid w:val="002B5A00"/>
    <w:rPr>
      <w:rFonts w:ascii="Arial" w:eastAsia="Times New Roman" w:hAnsi="Arial" w:cs="Times New Roman"/>
      <w:b/>
      <w:bCs/>
      <w:color w:val="000080"/>
      <w:sz w:val="40"/>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alloonText">
    <w:name w:val="Balloon Text"/>
    <w:basedOn w:val="Normal"/>
    <w:link w:val="BalloonTextChar"/>
    <w:semiHidden/>
    <w:rsid w:val="002B5A00"/>
    <w:rPr>
      <w:rFonts w:ascii="Tahoma" w:hAnsi="Tahoma" w:cs="Tahoma"/>
      <w:sz w:val="16"/>
      <w:szCs w:val="16"/>
    </w:rPr>
  </w:style>
  <w:style w:type="character" w:customStyle="1" w:styleId="BalloonTextChar">
    <w:name w:val="Balloon Text Char"/>
    <w:basedOn w:val="DefaultParagraphFont"/>
    <w:link w:val="BalloonText"/>
    <w:semiHidden/>
    <w:rsid w:val="002B5A00"/>
    <w:rPr>
      <w:rFonts w:ascii="Tahoma" w:eastAsia="Times New Roman" w:hAnsi="Tahoma" w:cs="Tahoma"/>
      <w:sz w:val="16"/>
      <w:szCs w:val="16"/>
    </w:rPr>
  </w:style>
  <w:style w:type="character" w:styleId="Emphasis">
    <w:name w:val="Emphasis"/>
    <w:qFormat/>
    <w:rsid w:val="002B5A00"/>
    <w:rPr>
      <w:rFonts w:ascii="Arial" w:hAnsi="Arial"/>
      <w:caps/>
      <w:sz w:val="18"/>
    </w:rPr>
  </w:style>
  <w:style w:type="paragraph" w:customStyle="1" w:styleId="xl29">
    <w:name w:val="xl29"/>
    <w:basedOn w:val="Normal"/>
    <w:rsid w:val="002B5A00"/>
    <w:pPr>
      <w:spacing w:before="100" w:beforeAutospacing="1" w:after="100" w:afterAutospacing="1"/>
      <w:jc w:val="center"/>
    </w:pPr>
    <w:rPr>
      <w:rFonts w:ascii="Arial Unicode MS" w:eastAsia="Arial Unicode MS" w:hAnsi="Arial Unicode MS" w:cs="Arial Unicode MS"/>
    </w:rPr>
  </w:style>
  <w:style w:type="paragraph" w:styleId="FootnoteText">
    <w:name w:val="footnote text"/>
    <w:basedOn w:val="Normal"/>
    <w:link w:val="FootnoteTextChar"/>
    <w:rsid w:val="002B5A00"/>
    <w:pPr>
      <w:jc w:val="both"/>
    </w:pPr>
    <w:rPr>
      <w:szCs w:val="20"/>
    </w:rPr>
  </w:style>
  <w:style w:type="character" w:customStyle="1" w:styleId="FootnoteTextChar">
    <w:name w:val="Footnote Text Char"/>
    <w:basedOn w:val="DefaultParagraphFont"/>
    <w:link w:val="FootnoteText"/>
    <w:rsid w:val="002B5A00"/>
    <w:rPr>
      <w:rFonts w:ascii="Arial" w:eastAsia="Times New Roman" w:hAnsi="Arial" w:cs="Times New Roman"/>
      <w:sz w:val="20"/>
      <w:szCs w:val="20"/>
    </w:rPr>
  </w:style>
  <w:style w:type="table" w:styleId="TableGrid">
    <w:name w:val="Table Grid"/>
    <w:basedOn w:val="TableNormal"/>
    <w:rsid w:val="002B5A0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B5A00"/>
    <w:pPr>
      <w:spacing w:after="120"/>
      <w:ind w:left="283"/>
    </w:pPr>
  </w:style>
  <w:style w:type="character" w:customStyle="1" w:styleId="BodyTextIndentChar">
    <w:name w:val="Body Text Indent Char"/>
    <w:basedOn w:val="DefaultParagraphFont"/>
    <w:link w:val="BodyTextIndent"/>
    <w:rsid w:val="002B5A00"/>
    <w:rPr>
      <w:rFonts w:ascii="Arial" w:eastAsia="Times New Roman" w:hAnsi="Arial" w:cs="Times New Roman"/>
      <w:sz w:val="20"/>
      <w:szCs w:val="24"/>
    </w:rPr>
  </w:style>
  <w:style w:type="character" w:styleId="FootnoteReference">
    <w:name w:val="footnote reference"/>
    <w:basedOn w:val="DefaultParagraphFont"/>
    <w:rsid w:val="002B5A00"/>
    <w:rPr>
      <w:vertAlign w:val="superscript"/>
    </w:rPr>
  </w:style>
  <w:style w:type="character" w:styleId="CommentReference">
    <w:name w:val="annotation reference"/>
    <w:basedOn w:val="DefaultParagraphFont"/>
    <w:semiHidden/>
    <w:rsid w:val="002B5A00"/>
    <w:rPr>
      <w:sz w:val="16"/>
      <w:szCs w:val="16"/>
    </w:rPr>
  </w:style>
  <w:style w:type="paragraph" w:styleId="CommentText">
    <w:name w:val="annotation text"/>
    <w:basedOn w:val="Normal"/>
    <w:link w:val="CommentTextChar"/>
    <w:semiHidden/>
    <w:rsid w:val="002B5A00"/>
    <w:rPr>
      <w:szCs w:val="20"/>
    </w:rPr>
  </w:style>
  <w:style w:type="character" w:customStyle="1" w:styleId="CommentTextChar">
    <w:name w:val="Comment Text Char"/>
    <w:basedOn w:val="DefaultParagraphFont"/>
    <w:link w:val="CommentText"/>
    <w:semiHidden/>
    <w:rsid w:val="002B5A00"/>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B5A00"/>
    <w:rPr>
      <w:b/>
      <w:bCs/>
    </w:rPr>
  </w:style>
  <w:style w:type="character" w:customStyle="1" w:styleId="CommentSubjectChar">
    <w:name w:val="Comment Subject Char"/>
    <w:basedOn w:val="CommentTextChar"/>
    <w:link w:val="CommentSubject"/>
    <w:semiHidden/>
    <w:rsid w:val="002B5A00"/>
    <w:rPr>
      <w:rFonts w:ascii="Arial" w:eastAsia="Times New Roman" w:hAnsi="Arial" w:cs="Times New Roman"/>
      <w:b/>
      <w:bCs/>
      <w:sz w:val="20"/>
      <w:szCs w:val="20"/>
    </w:rPr>
  </w:style>
  <w:style w:type="paragraph" w:styleId="TOC1">
    <w:name w:val="toc 1"/>
    <w:basedOn w:val="Normal"/>
    <w:next w:val="Normal"/>
    <w:autoRedefine/>
    <w:uiPriority w:val="39"/>
    <w:rsid w:val="002B5A00"/>
    <w:pPr>
      <w:tabs>
        <w:tab w:val="left" w:pos="480"/>
        <w:tab w:val="right" w:leader="dot" w:pos="9072"/>
      </w:tabs>
      <w:spacing w:before="360"/>
    </w:pPr>
    <w:rPr>
      <w:rFonts w:cs="Arial"/>
      <w:b/>
      <w:bCs/>
      <w:caps/>
    </w:rPr>
  </w:style>
  <w:style w:type="paragraph" w:styleId="TOC2">
    <w:name w:val="toc 2"/>
    <w:basedOn w:val="Normal"/>
    <w:next w:val="Normal"/>
    <w:autoRedefine/>
    <w:uiPriority w:val="39"/>
    <w:rsid w:val="002B5A00"/>
    <w:pPr>
      <w:spacing w:before="240"/>
    </w:pPr>
    <w:rPr>
      <w:b/>
      <w:bCs/>
      <w:szCs w:val="20"/>
    </w:rPr>
  </w:style>
  <w:style w:type="paragraph" w:styleId="TOC3">
    <w:name w:val="toc 3"/>
    <w:basedOn w:val="Normal"/>
    <w:next w:val="Normal"/>
    <w:autoRedefine/>
    <w:semiHidden/>
    <w:rsid w:val="002B5A00"/>
    <w:pPr>
      <w:ind w:left="240"/>
    </w:pPr>
    <w:rPr>
      <w:szCs w:val="20"/>
    </w:rPr>
  </w:style>
  <w:style w:type="paragraph" w:styleId="TOC4">
    <w:name w:val="toc 4"/>
    <w:basedOn w:val="Normal"/>
    <w:next w:val="Normal"/>
    <w:autoRedefine/>
    <w:semiHidden/>
    <w:rsid w:val="002B5A00"/>
    <w:pPr>
      <w:ind w:left="480"/>
    </w:pPr>
    <w:rPr>
      <w:szCs w:val="20"/>
    </w:rPr>
  </w:style>
  <w:style w:type="paragraph" w:styleId="TOC5">
    <w:name w:val="toc 5"/>
    <w:basedOn w:val="Normal"/>
    <w:next w:val="Normal"/>
    <w:autoRedefine/>
    <w:semiHidden/>
    <w:rsid w:val="002B5A00"/>
    <w:pPr>
      <w:ind w:left="720"/>
    </w:pPr>
    <w:rPr>
      <w:szCs w:val="20"/>
    </w:rPr>
  </w:style>
  <w:style w:type="paragraph" w:styleId="TOC6">
    <w:name w:val="toc 6"/>
    <w:basedOn w:val="Normal"/>
    <w:next w:val="Normal"/>
    <w:autoRedefine/>
    <w:semiHidden/>
    <w:rsid w:val="002B5A00"/>
    <w:pPr>
      <w:ind w:left="960"/>
    </w:pPr>
    <w:rPr>
      <w:szCs w:val="20"/>
    </w:rPr>
  </w:style>
  <w:style w:type="paragraph" w:styleId="TOC7">
    <w:name w:val="toc 7"/>
    <w:basedOn w:val="Normal"/>
    <w:next w:val="Normal"/>
    <w:autoRedefine/>
    <w:semiHidden/>
    <w:rsid w:val="002B5A00"/>
    <w:pPr>
      <w:ind w:left="1200"/>
    </w:pPr>
    <w:rPr>
      <w:szCs w:val="20"/>
    </w:rPr>
  </w:style>
  <w:style w:type="paragraph" w:styleId="TOC8">
    <w:name w:val="toc 8"/>
    <w:basedOn w:val="Normal"/>
    <w:next w:val="Normal"/>
    <w:autoRedefine/>
    <w:semiHidden/>
    <w:rsid w:val="002B5A00"/>
    <w:pPr>
      <w:ind w:left="1440"/>
    </w:pPr>
    <w:rPr>
      <w:szCs w:val="20"/>
    </w:rPr>
  </w:style>
  <w:style w:type="paragraph" w:styleId="TOC9">
    <w:name w:val="toc 9"/>
    <w:basedOn w:val="Normal"/>
    <w:next w:val="Normal"/>
    <w:autoRedefine/>
    <w:semiHidden/>
    <w:rsid w:val="002B5A00"/>
    <w:pPr>
      <w:ind w:left="1680"/>
    </w:pPr>
    <w:rPr>
      <w:szCs w:val="20"/>
    </w:rPr>
  </w:style>
  <w:style w:type="paragraph" w:customStyle="1" w:styleId="StyleHeading2LeftRight-032cm">
    <w:name w:val="Style Heading 2 + Left Right:  -0.32 cm"/>
    <w:basedOn w:val="Heading2"/>
    <w:rsid w:val="002B5A00"/>
    <w:pPr>
      <w:ind w:right="-181"/>
      <w:jc w:val="left"/>
    </w:pPr>
    <w:rPr>
      <w:rFonts w:cs="Times New Roman"/>
      <w:szCs w:val="20"/>
    </w:rPr>
  </w:style>
  <w:style w:type="paragraph" w:customStyle="1" w:styleId="Heading3fromH2">
    <w:name w:val="Heading 3 + from H2"/>
    <w:basedOn w:val="Heading2"/>
    <w:autoRedefine/>
    <w:rsid w:val="002B5A00"/>
    <w:pPr>
      <w:ind w:right="-181"/>
      <w:jc w:val="left"/>
      <w:outlineLvl w:val="2"/>
    </w:pPr>
  </w:style>
  <w:style w:type="paragraph" w:styleId="Header">
    <w:name w:val="header"/>
    <w:basedOn w:val="Normal"/>
    <w:link w:val="HeaderChar"/>
    <w:rsid w:val="002B5A00"/>
    <w:pPr>
      <w:tabs>
        <w:tab w:val="center" w:pos="4320"/>
        <w:tab w:val="right" w:pos="8640"/>
      </w:tabs>
    </w:pPr>
  </w:style>
  <w:style w:type="character" w:customStyle="1" w:styleId="HeaderChar">
    <w:name w:val="Header Char"/>
    <w:basedOn w:val="DefaultParagraphFont"/>
    <w:link w:val="Header"/>
    <w:rsid w:val="002B5A00"/>
    <w:rPr>
      <w:rFonts w:ascii="Arial" w:eastAsia="Times New Roman" w:hAnsi="Arial" w:cs="Times New Roman"/>
      <w:sz w:val="20"/>
      <w:szCs w:val="24"/>
    </w:rPr>
  </w:style>
  <w:style w:type="character" w:styleId="FollowedHyperlink">
    <w:name w:val="FollowedHyperlink"/>
    <w:basedOn w:val="DefaultParagraphFont"/>
    <w:rsid w:val="002B5A00"/>
    <w:rPr>
      <w:color w:val="800080"/>
      <w:u w:val="single"/>
    </w:rPr>
  </w:style>
  <w:style w:type="paragraph" w:customStyle="1" w:styleId="Style1">
    <w:name w:val="Style1"/>
    <w:basedOn w:val="Normal"/>
    <w:next w:val="Title"/>
    <w:autoRedefine/>
    <w:qFormat/>
    <w:rsid w:val="002B5A00"/>
    <w:pPr>
      <w:numPr>
        <w:ilvl w:val="1"/>
      </w:numPr>
      <w:spacing w:line="300" w:lineRule="auto"/>
      <w:ind w:right="8"/>
    </w:pPr>
    <w:rPr>
      <w:i/>
      <w:iCs/>
      <w:color w:val="003767"/>
      <w:spacing w:val="15"/>
    </w:rPr>
  </w:style>
  <w:style w:type="paragraph" w:styleId="Subtitle">
    <w:name w:val="Subtitle"/>
    <w:basedOn w:val="Normal"/>
    <w:next w:val="Normal"/>
    <w:link w:val="SubtitleChar"/>
    <w:autoRedefine/>
    <w:qFormat/>
    <w:rsid w:val="0000187F"/>
    <w:pPr>
      <w:spacing w:after="60" w:line="300" w:lineRule="auto"/>
      <w:ind w:right="6"/>
      <w:jc w:val="both"/>
      <w:outlineLvl w:val="1"/>
    </w:pPr>
    <w:rPr>
      <w:b/>
      <w:color w:val="003B65"/>
    </w:rPr>
  </w:style>
  <w:style w:type="character" w:customStyle="1" w:styleId="SubtitleChar">
    <w:name w:val="Subtitle Char"/>
    <w:basedOn w:val="DefaultParagraphFont"/>
    <w:link w:val="Subtitle"/>
    <w:rsid w:val="0000187F"/>
    <w:rPr>
      <w:rFonts w:ascii="Arial" w:eastAsia="Times New Roman" w:hAnsi="Arial" w:cs="Times New Roman"/>
      <w:b/>
      <w:color w:val="003B65"/>
      <w:sz w:val="20"/>
      <w:szCs w:val="24"/>
    </w:rPr>
  </w:style>
  <w:style w:type="character" w:styleId="Strong">
    <w:name w:val="Strong"/>
    <w:basedOn w:val="DefaultParagraphFont"/>
    <w:qFormat/>
    <w:rsid w:val="002B5A00"/>
    <w:rPr>
      <w:rFonts w:ascii="Arial" w:hAnsi="Arial"/>
      <w:b/>
      <w:bCs/>
    </w:rPr>
  </w:style>
  <w:style w:type="paragraph" w:styleId="Title">
    <w:name w:val="Title"/>
    <w:basedOn w:val="Normal"/>
    <w:next w:val="Normal"/>
    <w:link w:val="TitleChar"/>
    <w:autoRedefine/>
    <w:qFormat/>
    <w:rsid w:val="002B5A00"/>
    <w:pPr>
      <w:spacing w:before="240" w:after="60"/>
      <w:jc w:val="center"/>
      <w:outlineLvl w:val="0"/>
    </w:pPr>
    <w:rPr>
      <w:b/>
      <w:bCs/>
      <w:kern w:val="28"/>
      <w:sz w:val="32"/>
      <w:szCs w:val="32"/>
    </w:rPr>
  </w:style>
  <w:style w:type="character" w:customStyle="1" w:styleId="TitleChar">
    <w:name w:val="Title Char"/>
    <w:basedOn w:val="DefaultParagraphFont"/>
    <w:link w:val="Title"/>
    <w:rsid w:val="002B5A00"/>
    <w:rPr>
      <w:rFonts w:ascii="Arial" w:eastAsia="Times New Roman" w:hAnsi="Arial" w:cs="Times New Roman"/>
      <w:b/>
      <w:bCs/>
      <w:kern w:val="28"/>
      <w:sz w:val="32"/>
      <w:szCs w:val="32"/>
    </w:rPr>
  </w:style>
  <w:style w:type="character" w:styleId="SubtleEmphasis">
    <w:name w:val="Subtle Emphasis"/>
    <w:basedOn w:val="DefaultParagraphFont"/>
    <w:uiPriority w:val="19"/>
    <w:qFormat/>
    <w:rsid w:val="002B5A00"/>
    <w:rPr>
      <w:rFonts w:ascii="Arial" w:hAnsi="Arial"/>
      <w:i/>
      <w:iCs/>
      <w:color w:val="808080"/>
    </w:rPr>
  </w:style>
  <w:style w:type="character" w:styleId="IntenseEmphasis">
    <w:name w:val="Intense Emphasis"/>
    <w:basedOn w:val="DefaultParagraphFont"/>
    <w:uiPriority w:val="21"/>
    <w:qFormat/>
    <w:rsid w:val="002B5A00"/>
    <w:rPr>
      <w:rFonts w:ascii="Arial" w:hAnsi="Arial"/>
      <w:b/>
      <w:bCs/>
      <w:i/>
      <w:iCs/>
      <w:color w:val="003767"/>
    </w:rPr>
  </w:style>
  <w:style w:type="paragraph" w:styleId="IntenseQuote">
    <w:name w:val="Intense Quote"/>
    <w:basedOn w:val="Normal"/>
    <w:next w:val="Normal"/>
    <w:link w:val="IntenseQuoteChar"/>
    <w:autoRedefine/>
    <w:uiPriority w:val="30"/>
    <w:qFormat/>
    <w:rsid w:val="002B5A00"/>
    <w:pPr>
      <w:pBdr>
        <w:bottom w:val="single" w:sz="4" w:space="4" w:color="4F81BD"/>
      </w:pBdr>
      <w:spacing w:before="200" w:after="280"/>
      <w:ind w:left="936" w:right="936"/>
    </w:pPr>
    <w:rPr>
      <w:b/>
      <w:bCs/>
      <w:i/>
      <w:iCs/>
      <w:color w:val="003767"/>
    </w:rPr>
  </w:style>
  <w:style w:type="character" w:customStyle="1" w:styleId="IntenseQuoteChar">
    <w:name w:val="Intense Quote Char"/>
    <w:basedOn w:val="DefaultParagraphFont"/>
    <w:link w:val="IntenseQuote"/>
    <w:uiPriority w:val="30"/>
    <w:rsid w:val="002B5A00"/>
    <w:rPr>
      <w:rFonts w:ascii="Arial" w:eastAsia="Times New Roman" w:hAnsi="Arial" w:cs="Times New Roman"/>
      <w:b/>
      <w:bCs/>
      <w:i/>
      <w:iCs/>
      <w:color w:val="003767"/>
      <w:sz w:val="20"/>
      <w:szCs w:val="24"/>
    </w:rPr>
  </w:style>
  <w:style w:type="character" w:styleId="SubtleReference">
    <w:name w:val="Subtle Reference"/>
    <w:basedOn w:val="DefaultParagraphFont"/>
    <w:uiPriority w:val="31"/>
    <w:qFormat/>
    <w:rsid w:val="002B5A00"/>
    <w:rPr>
      <w:rFonts w:ascii="Arial" w:hAnsi="Arial"/>
      <w:smallCaps/>
      <w:color w:val="807F83"/>
      <w:u w:val="single"/>
    </w:rPr>
  </w:style>
  <w:style w:type="character" w:styleId="IntenseReference">
    <w:name w:val="Intense Reference"/>
    <w:basedOn w:val="DefaultParagraphFont"/>
    <w:uiPriority w:val="32"/>
    <w:qFormat/>
    <w:rsid w:val="002B5A00"/>
    <w:rPr>
      <w:rFonts w:ascii="Arial" w:hAnsi="Arial"/>
      <w:b/>
      <w:bCs/>
      <w:smallCaps/>
      <w:color w:val="807F83"/>
      <w:spacing w:val="5"/>
      <w:u w:val="single"/>
    </w:rPr>
  </w:style>
  <w:style w:type="character" w:styleId="BookTitle">
    <w:name w:val="Book Title"/>
    <w:basedOn w:val="DefaultParagraphFont"/>
    <w:uiPriority w:val="33"/>
    <w:qFormat/>
    <w:rsid w:val="002B5A00"/>
    <w:rPr>
      <w:rFonts w:ascii="Arial" w:hAnsi="Arial"/>
      <w:b/>
      <w:bCs/>
      <w:smallCaps/>
      <w:spacing w:val="5"/>
    </w:rPr>
  </w:style>
  <w:style w:type="paragraph" w:styleId="DocumentMap">
    <w:name w:val="Document Map"/>
    <w:basedOn w:val="Normal"/>
    <w:link w:val="DocumentMapChar"/>
    <w:rsid w:val="002B5A00"/>
    <w:rPr>
      <w:rFonts w:ascii="Tahoma" w:hAnsi="Tahoma" w:cs="Tahoma"/>
      <w:sz w:val="16"/>
      <w:szCs w:val="16"/>
    </w:rPr>
  </w:style>
  <w:style w:type="character" w:customStyle="1" w:styleId="DocumentMapChar">
    <w:name w:val="Document Map Char"/>
    <w:basedOn w:val="DefaultParagraphFont"/>
    <w:link w:val="DocumentMap"/>
    <w:rsid w:val="002B5A00"/>
    <w:rPr>
      <w:rFonts w:ascii="Tahoma" w:eastAsia="Times New Roman" w:hAnsi="Tahoma" w:cs="Tahoma"/>
      <w:sz w:val="16"/>
      <w:szCs w:val="16"/>
    </w:rPr>
  </w:style>
  <w:style w:type="paragraph" w:styleId="ListParagraph">
    <w:name w:val="List Paragraph"/>
    <w:basedOn w:val="Normal"/>
    <w:uiPriority w:val="34"/>
    <w:qFormat/>
    <w:rsid w:val="002B5A00"/>
    <w:pPr>
      <w:ind w:left="720"/>
      <w:contextualSpacing/>
    </w:pPr>
    <w:rPr>
      <w:rFonts w:ascii="Calibri" w:eastAsia="Calibri" w:hAnsi="Calibri"/>
      <w:sz w:val="22"/>
      <w:szCs w:val="22"/>
      <w:lang w:eastAsia="en-AU"/>
    </w:rPr>
  </w:style>
  <w:style w:type="paragraph" w:styleId="EndnoteText">
    <w:name w:val="endnote text"/>
    <w:basedOn w:val="Normal"/>
    <w:link w:val="EndnoteTextChar"/>
    <w:rsid w:val="002B5A00"/>
    <w:rPr>
      <w:rFonts w:ascii="Times New Roman" w:hAnsi="Times New Roman"/>
      <w:szCs w:val="20"/>
      <w:lang w:eastAsia="en-AU"/>
    </w:rPr>
  </w:style>
  <w:style w:type="character" w:customStyle="1" w:styleId="EndnoteTextChar">
    <w:name w:val="Endnote Text Char"/>
    <w:basedOn w:val="DefaultParagraphFont"/>
    <w:link w:val="EndnoteText"/>
    <w:rsid w:val="002B5A00"/>
    <w:rPr>
      <w:rFonts w:ascii="Times New Roman" w:eastAsia="Times New Roman" w:hAnsi="Times New Roman" w:cs="Times New Roman"/>
      <w:sz w:val="20"/>
      <w:szCs w:val="20"/>
      <w:lang w:eastAsia="en-AU"/>
    </w:rPr>
  </w:style>
  <w:style w:type="character" w:styleId="EndnoteReference">
    <w:name w:val="endnote reference"/>
    <w:basedOn w:val="DefaultParagraphFont"/>
    <w:rsid w:val="002B5A00"/>
    <w:rPr>
      <w:vertAlign w:val="superscript"/>
    </w:rPr>
  </w:style>
  <w:style w:type="character" w:styleId="PlaceholderText">
    <w:name w:val="Placeholder Text"/>
    <w:basedOn w:val="DefaultParagraphFont"/>
    <w:uiPriority w:val="99"/>
    <w:semiHidden/>
    <w:rsid w:val="002B5A00"/>
    <w:rPr>
      <w:color w:val="808080"/>
    </w:rPr>
  </w:style>
  <w:style w:type="paragraph" w:customStyle="1" w:styleId="Default">
    <w:name w:val="Default"/>
    <w:rsid w:val="002B5A00"/>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
    <w:name w:val="Bullet"/>
    <w:basedOn w:val="Default"/>
    <w:next w:val="Default"/>
    <w:uiPriority w:val="99"/>
    <w:rsid w:val="002B5A00"/>
    <w:pPr>
      <w:spacing w:before="120" w:after="120"/>
    </w:pPr>
    <w:rPr>
      <w:color w:val="auto"/>
    </w:rPr>
  </w:style>
  <w:style w:type="character" w:styleId="HTMLCite">
    <w:name w:val="HTML Cite"/>
    <w:basedOn w:val="DefaultParagraphFont"/>
    <w:uiPriority w:val="99"/>
    <w:unhideWhenUsed/>
    <w:rsid w:val="002B5A00"/>
    <w:rPr>
      <w:i/>
      <w:iCs/>
    </w:rPr>
  </w:style>
  <w:style w:type="character" w:customStyle="1" w:styleId="Heading7Char">
    <w:name w:val="Heading 7 Char"/>
    <w:basedOn w:val="DefaultParagraphFont"/>
    <w:link w:val="Heading7"/>
    <w:uiPriority w:val="9"/>
    <w:semiHidden/>
    <w:rsid w:val="00654E3C"/>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sid w:val="00654E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4E3C"/>
    <w:rPr>
      <w:rFonts w:asciiTheme="majorHAnsi" w:eastAsiaTheme="majorEastAsia" w:hAnsiTheme="majorHAnsi" w:cstheme="majorBidi"/>
      <w:i/>
      <w:iCs/>
      <w:color w:val="404040" w:themeColor="text1" w:themeTint="BF"/>
      <w:sz w:val="20"/>
      <w:szCs w:val="20"/>
    </w:rPr>
  </w:style>
  <w:style w:type="character" w:customStyle="1" w:styleId="citation">
    <w:name w:val="citation"/>
    <w:basedOn w:val="DefaultParagraphFont"/>
    <w:rsid w:val="009A7E89"/>
  </w:style>
  <w:style w:type="paragraph" w:styleId="NormalWeb">
    <w:name w:val="Normal (Web)"/>
    <w:basedOn w:val="Normal"/>
    <w:uiPriority w:val="99"/>
    <w:semiHidden/>
    <w:unhideWhenUsed/>
    <w:rsid w:val="00A3527E"/>
    <w:rPr>
      <w:rFonts w:ascii="Times New Roman" w:hAnsi="Times New Roman"/>
      <w:sz w:val="24"/>
    </w:rPr>
  </w:style>
  <w:style w:type="paragraph" w:styleId="Caption">
    <w:name w:val="caption"/>
    <w:basedOn w:val="Normal"/>
    <w:next w:val="Normal"/>
    <w:uiPriority w:val="35"/>
    <w:unhideWhenUsed/>
    <w:qFormat/>
    <w:rsid w:val="000E2E06"/>
    <w:pPr>
      <w:spacing w:after="200"/>
    </w:pPr>
    <w:rPr>
      <w:b/>
      <w:bCs/>
      <w:color w:val="4F81BD" w:themeColor="accent1"/>
      <w:sz w:val="18"/>
      <w:szCs w:val="18"/>
    </w:rPr>
  </w:style>
  <w:style w:type="paragraph" w:styleId="Revision">
    <w:name w:val="Revision"/>
    <w:hidden/>
    <w:uiPriority w:val="99"/>
    <w:semiHidden/>
    <w:rsid w:val="009D7D4B"/>
    <w:pPr>
      <w:spacing w:after="0" w:line="240" w:lineRule="auto"/>
    </w:pPr>
    <w:rPr>
      <w:rFonts w:ascii="Arial" w:eastAsia="Times New Roman" w:hAnsi="Arial" w:cs="Times New Roman"/>
      <w:sz w:val="20"/>
      <w:szCs w:val="24"/>
    </w:rPr>
  </w:style>
  <w:style w:type="paragraph" w:styleId="Quote">
    <w:name w:val="Quote"/>
    <w:basedOn w:val="Normal"/>
    <w:link w:val="QuoteChar"/>
    <w:uiPriority w:val="29"/>
    <w:qFormat/>
    <w:rsid w:val="0068449A"/>
    <w:rPr>
      <w:rFonts w:ascii="Times New Roman" w:eastAsiaTheme="minorHAnsi" w:hAnsi="Times New Roman"/>
      <w:sz w:val="24"/>
      <w:lang w:eastAsia="en-AU"/>
    </w:rPr>
  </w:style>
  <w:style w:type="character" w:customStyle="1" w:styleId="QuoteChar">
    <w:name w:val="Quote Char"/>
    <w:basedOn w:val="DefaultParagraphFont"/>
    <w:link w:val="Quote"/>
    <w:uiPriority w:val="29"/>
    <w:rsid w:val="0068449A"/>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68232">
      <w:bodyDiv w:val="1"/>
      <w:marLeft w:val="0"/>
      <w:marRight w:val="0"/>
      <w:marTop w:val="0"/>
      <w:marBottom w:val="0"/>
      <w:divBdr>
        <w:top w:val="none" w:sz="0" w:space="0" w:color="auto"/>
        <w:left w:val="none" w:sz="0" w:space="0" w:color="auto"/>
        <w:bottom w:val="none" w:sz="0" w:space="0" w:color="auto"/>
        <w:right w:val="none" w:sz="0" w:space="0" w:color="auto"/>
      </w:divBdr>
    </w:div>
    <w:div w:id="85274737">
      <w:bodyDiv w:val="1"/>
      <w:marLeft w:val="0"/>
      <w:marRight w:val="0"/>
      <w:marTop w:val="0"/>
      <w:marBottom w:val="0"/>
      <w:divBdr>
        <w:top w:val="none" w:sz="0" w:space="0" w:color="auto"/>
        <w:left w:val="none" w:sz="0" w:space="0" w:color="auto"/>
        <w:bottom w:val="none" w:sz="0" w:space="0" w:color="auto"/>
        <w:right w:val="none" w:sz="0" w:space="0" w:color="auto"/>
      </w:divBdr>
    </w:div>
    <w:div w:id="94249581">
      <w:bodyDiv w:val="1"/>
      <w:marLeft w:val="0"/>
      <w:marRight w:val="0"/>
      <w:marTop w:val="0"/>
      <w:marBottom w:val="0"/>
      <w:divBdr>
        <w:top w:val="none" w:sz="0" w:space="0" w:color="auto"/>
        <w:left w:val="none" w:sz="0" w:space="0" w:color="auto"/>
        <w:bottom w:val="none" w:sz="0" w:space="0" w:color="auto"/>
        <w:right w:val="none" w:sz="0" w:space="0" w:color="auto"/>
      </w:divBdr>
    </w:div>
    <w:div w:id="94250009">
      <w:bodyDiv w:val="1"/>
      <w:marLeft w:val="0"/>
      <w:marRight w:val="0"/>
      <w:marTop w:val="0"/>
      <w:marBottom w:val="0"/>
      <w:divBdr>
        <w:top w:val="none" w:sz="0" w:space="0" w:color="auto"/>
        <w:left w:val="none" w:sz="0" w:space="0" w:color="auto"/>
        <w:bottom w:val="none" w:sz="0" w:space="0" w:color="auto"/>
        <w:right w:val="none" w:sz="0" w:space="0" w:color="auto"/>
      </w:divBdr>
    </w:div>
    <w:div w:id="134682500">
      <w:bodyDiv w:val="1"/>
      <w:marLeft w:val="0"/>
      <w:marRight w:val="0"/>
      <w:marTop w:val="0"/>
      <w:marBottom w:val="0"/>
      <w:divBdr>
        <w:top w:val="none" w:sz="0" w:space="0" w:color="auto"/>
        <w:left w:val="none" w:sz="0" w:space="0" w:color="auto"/>
        <w:bottom w:val="none" w:sz="0" w:space="0" w:color="auto"/>
        <w:right w:val="none" w:sz="0" w:space="0" w:color="auto"/>
      </w:divBdr>
    </w:div>
    <w:div w:id="190579082">
      <w:bodyDiv w:val="1"/>
      <w:marLeft w:val="0"/>
      <w:marRight w:val="0"/>
      <w:marTop w:val="0"/>
      <w:marBottom w:val="0"/>
      <w:divBdr>
        <w:top w:val="none" w:sz="0" w:space="0" w:color="auto"/>
        <w:left w:val="none" w:sz="0" w:space="0" w:color="auto"/>
        <w:bottom w:val="none" w:sz="0" w:space="0" w:color="auto"/>
        <w:right w:val="none" w:sz="0" w:space="0" w:color="auto"/>
      </w:divBdr>
    </w:div>
    <w:div w:id="239802368">
      <w:bodyDiv w:val="1"/>
      <w:marLeft w:val="0"/>
      <w:marRight w:val="0"/>
      <w:marTop w:val="0"/>
      <w:marBottom w:val="0"/>
      <w:divBdr>
        <w:top w:val="none" w:sz="0" w:space="0" w:color="auto"/>
        <w:left w:val="none" w:sz="0" w:space="0" w:color="auto"/>
        <w:bottom w:val="none" w:sz="0" w:space="0" w:color="auto"/>
        <w:right w:val="none" w:sz="0" w:space="0" w:color="auto"/>
      </w:divBdr>
      <w:divsChild>
        <w:div w:id="1045251751">
          <w:marLeft w:val="0"/>
          <w:marRight w:val="0"/>
          <w:marTop w:val="0"/>
          <w:marBottom w:val="0"/>
          <w:divBdr>
            <w:top w:val="none" w:sz="0" w:space="0" w:color="auto"/>
            <w:left w:val="none" w:sz="0" w:space="0" w:color="auto"/>
            <w:bottom w:val="none" w:sz="0" w:space="0" w:color="auto"/>
            <w:right w:val="none" w:sz="0" w:space="0" w:color="auto"/>
          </w:divBdr>
          <w:divsChild>
            <w:div w:id="1609391215">
              <w:marLeft w:val="0"/>
              <w:marRight w:val="0"/>
              <w:marTop w:val="0"/>
              <w:marBottom w:val="0"/>
              <w:divBdr>
                <w:top w:val="none" w:sz="0" w:space="0" w:color="auto"/>
                <w:left w:val="none" w:sz="0" w:space="0" w:color="auto"/>
                <w:bottom w:val="none" w:sz="0" w:space="0" w:color="auto"/>
                <w:right w:val="none" w:sz="0" w:space="0" w:color="auto"/>
              </w:divBdr>
              <w:divsChild>
                <w:div w:id="734352596">
                  <w:marLeft w:val="0"/>
                  <w:marRight w:val="0"/>
                  <w:marTop w:val="0"/>
                  <w:marBottom w:val="0"/>
                  <w:divBdr>
                    <w:top w:val="none" w:sz="0" w:space="0" w:color="auto"/>
                    <w:left w:val="none" w:sz="0" w:space="0" w:color="auto"/>
                    <w:bottom w:val="none" w:sz="0" w:space="0" w:color="auto"/>
                    <w:right w:val="none" w:sz="0" w:space="0" w:color="auto"/>
                  </w:divBdr>
                  <w:divsChild>
                    <w:div w:id="1459642002">
                      <w:marLeft w:val="125"/>
                      <w:marRight w:val="125"/>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309407971">
      <w:bodyDiv w:val="1"/>
      <w:marLeft w:val="0"/>
      <w:marRight w:val="0"/>
      <w:marTop w:val="0"/>
      <w:marBottom w:val="0"/>
      <w:divBdr>
        <w:top w:val="none" w:sz="0" w:space="0" w:color="auto"/>
        <w:left w:val="none" w:sz="0" w:space="0" w:color="auto"/>
        <w:bottom w:val="none" w:sz="0" w:space="0" w:color="auto"/>
        <w:right w:val="none" w:sz="0" w:space="0" w:color="auto"/>
      </w:divBdr>
    </w:div>
    <w:div w:id="316035669">
      <w:bodyDiv w:val="1"/>
      <w:marLeft w:val="0"/>
      <w:marRight w:val="0"/>
      <w:marTop w:val="0"/>
      <w:marBottom w:val="0"/>
      <w:divBdr>
        <w:top w:val="none" w:sz="0" w:space="0" w:color="auto"/>
        <w:left w:val="none" w:sz="0" w:space="0" w:color="auto"/>
        <w:bottom w:val="none" w:sz="0" w:space="0" w:color="auto"/>
        <w:right w:val="none" w:sz="0" w:space="0" w:color="auto"/>
      </w:divBdr>
    </w:div>
    <w:div w:id="465659771">
      <w:bodyDiv w:val="1"/>
      <w:marLeft w:val="0"/>
      <w:marRight w:val="0"/>
      <w:marTop w:val="0"/>
      <w:marBottom w:val="0"/>
      <w:divBdr>
        <w:top w:val="none" w:sz="0" w:space="0" w:color="auto"/>
        <w:left w:val="none" w:sz="0" w:space="0" w:color="auto"/>
        <w:bottom w:val="none" w:sz="0" w:space="0" w:color="auto"/>
        <w:right w:val="none" w:sz="0" w:space="0" w:color="auto"/>
      </w:divBdr>
    </w:div>
    <w:div w:id="475031436">
      <w:bodyDiv w:val="1"/>
      <w:marLeft w:val="0"/>
      <w:marRight w:val="0"/>
      <w:marTop w:val="0"/>
      <w:marBottom w:val="0"/>
      <w:divBdr>
        <w:top w:val="none" w:sz="0" w:space="0" w:color="auto"/>
        <w:left w:val="none" w:sz="0" w:space="0" w:color="auto"/>
        <w:bottom w:val="none" w:sz="0" w:space="0" w:color="auto"/>
        <w:right w:val="none" w:sz="0" w:space="0" w:color="auto"/>
      </w:divBdr>
    </w:div>
    <w:div w:id="515004407">
      <w:bodyDiv w:val="1"/>
      <w:marLeft w:val="0"/>
      <w:marRight w:val="0"/>
      <w:marTop w:val="0"/>
      <w:marBottom w:val="0"/>
      <w:divBdr>
        <w:top w:val="none" w:sz="0" w:space="0" w:color="auto"/>
        <w:left w:val="none" w:sz="0" w:space="0" w:color="auto"/>
        <w:bottom w:val="none" w:sz="0" w:space="0" w:color="auto"/>
        <w:right w:val="none" w:sz="0" w:space="0" w:color="auto"/>
      </w:divBdr>
    </w:div>
    <w:div w:id="548686414">
      <w:bodyDiv w:val="1"/>
      <w:marLeft w:val="0"/>
      <w:marRight w:val="0"/>
      <w:marTop w:val="0"/>
      <w:marBottom w:val="0"/>
      <w:divBdr>
        <w:top w:val="none" w:sz="0" w:space="0" w:color="auto"/>
        <w:left w:val="none" w:sz="0" w:space="0" w:color="auto"/>
        <w:bottom w:val="none" w:sz="0" w:space="0" w:color="auto"/>
        <w:right w:val="none" w:sz="0" w:space="0" w:color="auto"/>
      </w:divBdr>
      <w:divsChild>
        <w:div w:id="1643926791">
          <w:marLeft w:val="0"/>
          <w:marRight w:val="0"/>
          <w:marTop w:val="0"/>
          <w:marBottom w:val="0"/>
          <w:divBdr>
            <w:top w:val="none" w:sz="0" w:space="0" w:color="auto"/>
            <w:left w:val="none" w:sz="0" w:space="0" w:color="auto"/>
            <w:bottom w:val="none" w:sz="0" w:space="0" w:color="auto"/>
            <w:right w:val="none" w:sz="0" w:space="0" w:color="auto"/>
          </w:divBdr>
          <w:divsChild>
            <w:div w:id="1263535427">
              <w:marLeft w:val="0"/>
              <w:marRight w:val="0"/>
              <w:marTop w:val="0"/>
              <w:marBottom w:val="0"/>
              <w:divBdr>
                <w:top w:val="none" w:sz="0" w:space="0" w:color="auto"/>
                <w:left w:val="none" w:sz="0" w:space="0" w:color="auto"/>
                <w:bottom w:val="none" w:sz="0" w:space="0" w:color="auto"/>
                <w:right w:val="none" w:sz="0" w:space="0" w:color="auto"/>
              </w:divBdr>
              <w:divsChild>
                <w:div w:id="454711207">
                  <w:marLeft w:val="0"/>
                  <w:marRight w:val="0"/>
                  <w:marTop w:val="0"/>
                  <w:marBottom w:val="0"/>
                  <w:divBdr>
                    <w:top w:val="none" w:sz="0" w:space="0" w:color="auto"/>
                    <w:left w:val="none" w:sz="0" w:space="0" w:color="auto"/>
                    <w:bottom w:val="none" w:sz="0" w:space="0" w:color="auto"/>
                    <w:right w:val="none" w:sz="0" w:space="0" w:color="auto"/>
                  </w:divBdr>
                  <w:divsChild>
                    <w:div w:id="903567610">
                      <w:marLeft w:val="125"/>
                      <w:marRight w:val="125"/>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579294173">
      <w:bodyDiv w:val="1"/>
      <w:marLeft w:val="0"/>
      <w:marRight w:val="0"/>
      <w:marTop w:val="0"/>
      <w:marBottom w:val="0"/>
      <w:divBdr>
        <w:top w:val="none" w:sz="0" w:space="0" w:color="auto"/>
        <w:left w:val="none" w:sz="0" w:space="0" w:color="auto"/>
        <w:bottom w:val="none" w:sz="0" w:space="0" w:color="auto"/>
        <w:right w:val="none" w:sz="0" w:space="0" w:color="auto"/>
      </w:divBdr>
    </w:div>
    <w:div w:id="612706899">
      <w:bodyDiv w:val="1"/>
      <w:marLeft w:val="0"/>
      <w:marRight w:val="0"/>
      <w:marTop w:val="0"/>
      <w:marBottom w:val="0"/>
      <w:divBdr>
        <w:top w:val="none" w:sz="0" w:space="0" w:color="auto"/>
        <w:left w:val="none" w:sz="0" w:space="0" w:color="auto"/>
        <w:bottom w:val="none" w:sz="0" w:space="0" w:color="auto"/>
        <w:right w:val="none" w:sz="0" w:space="0" w:color="auto"/>
      </w:divBdr>
    </w:div>
    <w:div w:id="694699573">
      <w:bodyDiv w:val="1"/>
      <w:marLeft w:val="0"/>
      <w:marRight w:val="0"/>
      <w:marTop w:val="0"/>
      <w:marBottom w:val="0"/>
      <w:divBdr>
        <w:top w:val="none" w:sz="0" w:space="0" w:color="auto"/>
        <w:left w:val="none" w:sz="0" w:space="0" w:color="auto"/>
        <w:bottom w:val="none" w:sz="0" w:space="0" w:color="auto"/>
        <w:right w:val="none" w:sz="0" w:space="0" w:color="auto"/>
      </w:divBdr>
    </w:div>
    <w:div w:id="721514269">
      <w:bodyDiv w:val="1"/>
      <w:marLeft w:val="0"/>
      <w:marRight w:val="0"/>
      <w:marTop w:val="0"/>
      <w:marBottom w:val="0"/>
      <w:divBdr>
        <w:top w:val="none" w:sz="0" w:space="0" w:color="auto"/>
        <w:left w:val="none" w:sz="0" w:space="0" w:color="auto"/>
        <w:bottom w:val="none" w:sz="0" w:space="0" w:color="auto"/>
        <w:right w:val="none" w:sz="0" w:space="0" w:color="auto"/>
      </w:divBdr>
    </w:div>
    <w:div w:id="723530480">
      <w:bodyDiv w:val="1"/>
      <w:marLeft w:val="0"/>
      <w:marRight w:val="0"/>
      <w:marTop w:val="0"/>
      <w:marBottom w:val="0"/>
      <w:divBdr>
        <w:top w:val="none" w:sz="0" w:space="0" w:color="auto"/>
        <w:left w:val="none" w:sz="0" w:space="0" w:color="auto"/>
        <w:bottom w:val="none" w:sz="0" w:space="0" w:color="auto"/>
        <w:right w:val="none" w:sz="0" w:space="0" w:color="auto"/>
      </w:divBdr>
    </w:div>
    <w:div w:id="782117966">
      <w:bodyDiv w:val="1"/>
      <w:marLeft w:val="0"/>
      <w:marRight w:val="0"/>
      <w:marTop w:val="0"/>
      <w:marBottom w:val="0"/>
      <w:divBdr>
        <w:top w:val="none" w:sz="0" w:space="0" w:color="auto"/>
        <w:left w:val="none" w:sz="0" w:space="0" w:color="auto"/>
        <w:bottom w:val="none" w:sz="0" w:space="0" w:color="auto"/>
        <w:right w:val="none" w:sz="0" w:space="0" w:color="auto"/>
      </w:divBdr>
    </w:div>
    <w:div w:id="870453795">
      <w:bodyDiv w:val="1"/>
      <w:marLeft w:val="0"/>
      <w:marRight w:val="0"/>
      <w:marTop w:val="0"/>
      <w:marBottom w:val="0"/>
      <w:divBdr>
        <w:top w:val="none" w:sz="0" w:space="0" w:color="auto"/>
        <w:left w:val="none" w:sz="0" w:space="0" w:color="auto"/>
        <w:bottom w:val="none" w:sz="0" w:space="0" w:color="auto"/>
        <w:right w:val="none" w:sz="0" w:space="0" w:color="auto"/>
      </w:divBdr>
    </w:div>
    <w:div w:id="873076892">
      <w:bodyDiv w:val="1"/>
      <w:marLeft w:val="0"/>
      <w:marRight w:val="0"/>
      <w:marTop w:val="0"/>
      <w:marBottom w:val="0"/>
      <w:divBdr>
        <w:top w:val="none" w:sz="0" w:space="0" w:color="auto"/>
        <w:left w:val="none" w:sz="0" w:space="0" w:color="auto"/>
        <w:bottom w:val="none" w:sz="0" w:space="0" w:color="auto"/>
        <w:right w:val="none" w:sz="0" w:space="0" w:color="auto"/>
      </w:divBdr>
    </w:div>
    <w:div w:id="985360168">
      <w:bodyDiv w:val="1"/>
      <w:marLeft w:val="0"/>
      <w:marRight w:val="0"/>
      <w:marTop w:val="0"/>
      <w:marBottom w:val="0"/>
      <w:divBdr>
        <w:top w:val="none" w:sz="0" w:space="0" w:color="auto"/>
        <w:left w:val="none" w:sz="0" w:space="0" w:color="auto"/>
        <w:bottom w:val="none" w:sz="0" w:space="0" w:color="auto"/>
        <w:right w:val="none" w:sz="0" w:space="0" w:color="auto"/>
      </w:divBdr>
    </w:div>
    <w:div w:id="991834844">
      <w:bodyDiv w:val="1"/>
      <w:marLeft w:val="0"/>
      <w:marRight w:val="0"/>
      <w:marTop w:val="0"/>
      <w:marBottom w:val="0"/>
      <w:divBdr>
        <w:top w:val="none" w:sz="0" w:space="0" w:color="auto"/>
        <w:left w:val="none" w:sz="0" w:space="0" w:color="auto"/>
        <w:bottom w:val="none" w:sz="0" w:space="0" w:color="auto"/>
        <w:right w:val="none" w:sz="0" w:space="0" w:color="auto"/>
      </w:divBdr>
    </w:div>
    <w:div w:id="1025712679">
      <w:bodyDiv w:val="1"/>
      <w:marLeft w:val="0"/>
      <w:marRight w:val="0"/>
      <w:marTop w:val="0"/>
      <w:marBottom w:val="0"/>
      <w:divBdr>
        <w:top w:val="none" w:sz="0" w:space="0" w:color="auto"/>
        <w:left w:val="none" w:sz="0" w:space="0" w:color="auto"/>
        <w:bottom w:val="none" w:sz="0" w:space="0" w:color="auto"/>
        <w:right w:val="none" w:sz="0" w:space="0" w:color="auto"/>
      </w:divBdr>
    </w:div>
    <w:div w:id="1056398326">
      <w:bodyDiv w:val="1"/>
      <w:marLeft w:val="0"/>
      <w:marRight w:val="0"/>
      <w:marTop w:val="0"/>
      <w:marBottom w:val="0"/>
      <w:divBdr>
        <w:top w:val="none" w:sz="0" w:space="0" w:color="auto"/>
        <w:left w:val="none" w:sz="0" w:space="0" w:color="auto"/>
        <w:bottom w:val="none" w:sz="0" w:space="0" w:color="auto"/>
        <w:right w:val="none" w:sz="0" w:space="0" w:color="auto"/>
      </w:divBdr>
    </w:div>
    <w:div w:id="1114058366">
      <w:bodyDiv w:val="1"/>
      <w:marLeft w:val="0"/>
      <w:marRight w:val="0"/>
      <w:marTop w:val="0"/>
      <w:marBottom w:val="0"/>
      <w:divBdr>
        <w:top w:val="none" w:sz="0" w:space="0" w:color="auto"/>
        <w:left w:val="none" w:sz="0" w:space="0" w:color="auto"/>
        <w:bottom w:val="none" w:sz="0" w:space="0" w:color="auto"/>
        <w:right w:val="none" w:sz="0" w:space="0" w:color="auto"/>
      </w:divBdr>
    </w:div>
    <w:div w:id="1164904492">
      <w:bodyDiv w:val="1"/>
      <w:marLeft w:val="0"/>
      <w:marRight w:val="0"/>
      <w:marTop w:val="0"/>
      <w:marBottom w:val="0"/>
      <w:divBdr>
        <w:top w:val="none" w:sz="0" w:space="0" w:color="auto"/>
        <w:left w:val="none" w:sz="0" w:space="0" w:color="auto"/>
        <w:bottom w:val="none" w:sz="0" w:space="0" w:color="auto"/>
        <w:right w:val="none" w:sz="0" w:space="0" w:color="auto"/>
      </w:divBdr>
    </w:div>
    <w:div w:id="1193760367">
      <w:bodyDiv w:val="1"/>
      <w:marLeft w:val="0"/>
      <w:marRight w:val="0"/>
      <w:marTop w:val="0"/>
      <w:marBottom w:val="0"/>
      <w:divBdr>
        <w:top w:val="none" w:sz="0" w:space="0" w:color="auto"/>
        <w:left w:val="none" w:sz="0" w:space="0" w:color="auto"/>
        <w:bottom w:val="none" w:sz="0" w:space="0" w:color="auto"/>
        <w:right w:val="none" w:sz="0" w:space="0" w:color="auto"/>
      </w:divBdr>
    </w:div>
    <w:div w:id="1198393182">
      <w:bodyDiv w:val="1"/>
      <w:marLeft w:val="0"/>
      <w:marRight w:val="0"/>
      <w:marTop w:val="0"/>
      <w:marBottom w:val="0"/>
      <w:divBdr>
        <w:top w:val="none" w:sz="0" w:space="0" w:color="auto"/>
        <w:left w:val="none" w:sz="0" w:space="0" w:color="auto"/>
        <w:bottom w:val="none" w:sz="0" w:space="0" w:color="auto"/>
        <w:right w:val="none" w:sz="0" w:space="0" w:color="auto"/>
      </w:divBdr>
    </w:div>
    <w:div w:id="1209418279">
      <w:bodyDiv w:val="1"/>
      <w:marLeft w:val="0"/>
      <w:marRight w:val="0"/>
      <w:marTop w:val="0"/>
      <w:marBottom w:val="0"/>
      <w:divBdr>
        <w:top w:val="none" w:sz="0" w:space="0" w:color="auto"/>
        <w:left w:val="none" w:sz="0" w:space="0" w:color="auto"/>
        <w:bottom w:val="none" w:sz="0" w:space="0" w:color="auto"/>
        <w:right w:val="none" w:sz="0" w:space="0" w:color="auto"/>
      </w:divBdr>
    </w:div>
    <w:div w:id="1250851358">
      <w:bodyDiv w:val="1"/>
      <w:marLeft w:val="0"/>
      <w:marRight w:val="0"/>
      <w:marTop w:val="0"/>
      <w:marBottom w:val="0"/>
      <w:divBdr>
        <w:top w:val="none" w:sz="0" w:space="0" w:color="auto"/>
        <w:left w:val="none" w:sz="0" w:space="0" w:color="auto"/>
        <w:bottom w:val="none" w:sz="0" w:space="0" w:color="auto"/>
        <w:right w:val="none" w:sz="0" w:space="0" w:color="auto"/>
      </w:divBdr>
    </w:div>
    <w:div w:id="1419596415">
      <w:bodyDiv w:val="1"/>
      <w:marLeft w:val="0"/>
      <w:marRight w:val="0"/>
      <w:marTop w:val="0"/>
      <w:marBottom w:val="0"/>
      <w:divBdr>
        <w:top w:val="none" w:sz="0" w:space="0" w:color="auto"/>
        <w:left w:val="none" w:sz="0" w:space="0" w:color="auto"/>
        <w:bottom w:val="none" w:sz="0" w:space="0" w:color="auto"/>
        <w:right w:val="none" w:sz="0" w:space="0" w:color="auto"/>
      </w:divBdr>
    </w:div>
    <w:div w:id="1471170593">
      <w:bodyDiv w:val="1"/>
      <w:marLeft w:val="0"/>
      <w:marRight w:val="0"/>
      <w:marTop w:val="0"/>
      <w:marBottom w:val="0"/>
      <w:divBdr>
        <w:top w:val="none" w:sz="0" w:space="0" w:color="auto"/>
        <w:left w:val="none" w:sz="0" w:space="0" w:color="auto"/>
        <w:bottom w:val="none" w:sz="0" w:space="0" w:color="auto"/>
        <w:right w:val="none" w:sz="0" w:space="0" w:color="auto"/>
      </w:divBdr>
    </w:div>
    <w:div w:id="1478954546">
      <w:bodyDiv w:val="1"/>
      <w:marLeft w:val="0"/>
      <w:marRight w:val="0"/>
      <w:marTop w:val="0"/>
      <w:marBottom w:val="0"/>
      <w:divBdr>
        <w:top w:val="none" w:sz="0" w:space="0" w:color="auto"/>
        <w:left w:val="none" w:sz="0" w:space="0" w:color="auto"/>
        <w:bottom w:val="none" w:sz="0" w:space="0" w:color="auto"/>
        <w:right w:val="none" w:sz="0" w:space="0" w:color="auto"/>
      </w:divBdr>
    </w:div>
    <w:div w:id="1488130505">
      <w:bodyDiv w:val="1"/>
      <w:marLeft w:val="0"/>
      <w:marRight w:val="0"/>
      <w:marTop w:val="0"/>
      <w:marBottom w:val="0"/>
      <w:divBdr>
        <w:top w:val="none" w:sz="0" w:space="0" w:color="auto"/>
        <w:left w:val="none" w:sz="0" w:space="0" w:color="auto"/>
        <w:bottom w:val="none" w:sz="0" w:space="0" w:color="auto"/>
        <w:right w:val="none" w:sz="0" w:space="0" w:color="auto"/>
      </w:divBdr>
    </w:div>
    <w:div w:id="1494371480">
      <w:bodyDiv w:val="1"/>
      <w:marLeft w:val="0"/>
      <w:marRight w:val="0"/>
      <w:marTop w:val="0"/>
      <w:marBottom w:val="0"/>
      <w:divBdr>
        <w:top w:val="none" w:sz="0" w:space="0" w:color="auto"/>
        <w:left w:val="none" w:sz="0" w:space="0" w:color="auto"/>
        <w:bottom w:val="none" w:sz="0" w:space="0" w:color="auto"/>
        <w:right w:val="none" w:sz="0" w:space="0" w:color="auto"/>
      </w:divBdr>
    </w:div>
    <w:div w:id="1511868606">
      <w:bodyDiv w:val="1"/>
      <w:marLeft w:val="0"/>
      <w:marRight w:val="0"/>
      <w:marTop w:val="0"/>
      <w:marBottom w:val="0"/>
      <w:divBdr>
        <w:top w:val="none" w:sz="0" w:space="0" w:color="auto"/>
        <w:left w:val="none" w:sz="0" w:space="0" w:color="auto"/>
        <w:bottom w:val="none" w:sz="0" w:space="0" w:color="auto"/>
        <w:right w:val="none" w:sz="0" w:space="0" w:color="auto"/>
      </w:divBdr>
    </w:div>
    <w:div w:id="1543860535">
      <w:bodyDiv w:val="1"/>
      <w:marLeft w:val="0"/>
      <w:marRight w:val="0"/>
      <w:marTop w:val="0"/>
      <w:marBottom w:val="0"/>
      <w:divBdr>
        <w:top w:val="none" w:sz="0" w:space="0" w:color="auto"/>
        <w:left w:val="none" w:sz="0" w:space="0" w:color="auto"/>
        <w:bottom w:val="none" w:sz="0" w:space="0" w:color="auto"/>
        <w:right w:val="none" w:sz="0" w:space="0" w:color="auto"/>
      </w:divBdr>
    </w:div>
    <w:div w:id="1572622294">
      <w:bodyDiv w:val="1"/>
      <w:marLeft w:val="0"/>
      <w:marRight w:val="0"/>
      <w:marTop w:val="0"/>
      <w:marBottom w:val="0"/>
      <w:divBdr>
        <w:top w:val="none" w:sz="0" w:space="0" w:color="auto"/>
        <w:left w:val="none" w:sz="0" w:space="0" w:color="auto"/>
        <w:bottom w:val="none" w:sz="0" w:space="0" w:color="auto"/>
        <w:right w:val="none" w:sz="0" w:space="0" w:color="auto"/>
      </w:divBdr>
    </w:div>
    <w:div w:id="1604994757">
      <w:bodyDiv w:val="1"/>
      <w:marLeft w:val="0"/>
      <w:marRight w:val="0"/>
      <w:marTop w:val="0"/>
      <w:marBottom w:val="0"/>
      <w:divBdr>
        <w:top w:val="none" w:sz="0" w:space="0" w:color="auto"/>
        <w:left w:val="none" w:sz="0" w:space="0" w:color="auto"/>
        <w:bottom w:val="none" w:sz="0" w:space="0" w:color="auto"/>
        <w:right w:val="none" w:sz="0" w:space="0" w:color="auto"/>
      </w:divBdr>
    </w:div>
    <w:div w:id="1634209540">
      <w:bodyDiv w:val="1"/>
      <w:marLeft w:val="0"/>
      <w:marRight w:val="0"/>
      <w:marTop w:val="0"/>
      <w:marBottom w:val="0"/>
      <w:divBdr>
        <w:top w:val="none" w:sz="0" w:space="0" w:color="auto"/>
        <w:left w:val="none" w:sz="0" w:space="0" w:color="auto"/>
        <w:bottom w:val="none" w:sz="0" w:space="0" w:color="auto"/>
        <w:right w:val="none" w:sz="0" w:space="0" w:color="auto"/>
      </w:divBdr>
    </w:div>
    <w:div w:id="1645113505">
      <w:bodyDiv w:val="1"/>
      <w:marLeft w:val="0"/>
      <w:marRight w:val="0"/>
      <w:marTop w:val="0"/>
      <w:marBottom w:val="0"/>
      <w:divBdr>
        <w:top w:val="none" w:sz="0" w:space="0" w:color="auto"/>
        <w:left w:val="none" w:sz="0" w:space="0" w:color="auto"/>
        <w:bottom w:val="none" w:sz="0" w:space="0" w:color="auto"/>
        <w:right w:val="none" w:sz="0" w:space="0" w:color="auto"/>
      </w:divBdr>
    </w:div>
    <w:div w:id="1675182188">
      <w:bodyDiv w:val="1"/>
      <w:marLeft w:val="0"/>
      <w:marRight w:val="0"/>
      <w:marTop w:val="0"/>
      <w:marBottom w:val="0"/>
      <w:divBdr>
        <w:top w:val="none" w:sz="0" w:space="0" w:color="auto"/>
        <w:left w:val="none" w:sz="0" w:space="0" w:color="auto"/>
        <w:bottom w:val="none" w:sz="0" w:space="0" w:color="auto"/>
        <w:right w:val="none" w:sz="0" w:space="0" w:color="auto"/>
      </w:divBdr>
    </w:div>
    <w:div w:id="1680891742">
      <w:bodyDiv w:val="1"/>
      <w:marLeft w:val="0"/>
      <w:marRight w:val="0"/>
      <w:marTop w:val="0"/>
      <w:marBottom w:val="0"/>
      <w:divBdr>
        <w:top w:val="none" w:sz="0" w:space="0" w:color="auto"/>
        <w:left w:val="none" w:sz="0" w:space="0" w:color="auto"/>
        <w:bottom w:val="none" w:sz="0" w:space="0" w:color="auto"/>
        <w:right w:val="none" w:sz="0" w:space="0" w:color="auto"/>
      </w:divBdr>
    </w:div>
    <w:div w:id="1736539233">
      <w:bodyDiv w:val="1"/>
      <w:marLeft w:val="0"/>
      <w:marRight w:val="0"/>
      <w:marTop w:val="0"/>
      <w:marBottom w:val="0"/>
      <w:divBdr>
        <w:top w:val="none" w:sz="0" w:space="0" w:color="auto"/>
        <w:left w:val="none" w:sz="0" w:space="0" w:color="auto"/>
        <w:bottom w:val="none" w:sz="0" w:space="0" w:color="auto"/>
        <w:right w:val="none" w:sz="0" w:space="0" w:color="auto"/>
      </w:divBdr>
    </w:div>
    <w:div w:id="1745757691">
      <w:bodyDiv w:val="1"/>
      <w:marLeft w:val="0"/>
      <w:marRight w:val="0"/>
      <w:marTop w:val="0"/>
      <w:marBottom w:val="0"/>
      <w:divBdr>
        <w:top w:val="none" w:sz="0" w:space="0" w:color="auto"/>
        <w:left w:val="none" w:sz="0" w:space="0" w:color="auto"/>
        <w:bottom w:val="none" w:sz="0" w:space="0" w:color="auto"/>
        <w:right w:val="none" w:sz="0" w:space="0" w:color="auto"/>
      </w:divBdr>
      <w:divsChild>
        <w:div w:id="859587938">
          <w:marLeft w:val="0"/>
          <w:marRight w:val="0"/>
          <w:marTop w:val="0"/>
          <w:marBottom w:val="0"/>
          <w:divBdr>
            <w:top w:val="single" w:sz="2" w:space="0" w:color="999999"/>
            <w:left w:val="single" w:sz="4" w:space="0" w:color="999999"/>
            <w:bottom w:val="single" w:sz="2" w:space="0" w:color="999999"/>
            <w:right w:val="single" w:sz="4" w:space="0" w:color="999999"/>
          </w:divBdr>
          <w:divsChild>
            <w:div w:id="1517694790">
              <w:marLeft w:val="0"/>
              <w:marRight w:val="0"/>
              <w:marTop w:val="0"/>
              <w:marBottom w:val="0"/>
              <w:divBdr>
                <w:top w:val="none" w:sz="0" w:space="0" w:color="auto"/>
                <w:left w:val="none" w:sz="0" w:space="0" w:color="auto"/>
                <w:bottom w:val="none" w:sz="0" w:space="0" w:color="auto"/>
                <w:right w:val="none" w:sz="0" w:space="0" w:color="auto"/>
              </w:divBdr>
              <w:divsChild>
                <w:div w:id="1041518420">
                  <w:marLeft w:val="0"/>
                  <w:marRight w:val="0"/>
                  <w:marTop w:val="0"/>
                  <w:marBottom w:val="480"/>
                  <w:divBdr>
                    <w:top w:val="none" w:sz="0" w:space="0" w:color="auto"/>
                    <w:left w:val="none" w:sz="0" w:space="0" w:color="auto"/>
                    <w:bottom w:val="none" w:sz="0" w:space="0" w:color="auto"/>
                    <w:right w:val="none" w:sz="0" w:space="0" w:color="auto"/>
                  </w:divBdr>
                  <w:divsChild>
                    <w:div w:id="461776483">
                      <w:marLeft w:val="0"/>
                      <w:marRight w:val="0"/>
                      <w:marTop w:val="0"/>
                      <w:marBottom w:val="0"/>
                      <w:divBdr>
                        <w:top w:val="none" w:sz="0" w:space="0" w:color="auto"/>
                        <w:left w:val="none" w:sz="0" w:space="0" w:color="auto"/>
                        <w:bottom w:val="none" w:sz="0" w:space="0" w:color="auto"/>
                        <w:right w:val="none" w:sz="0" w:space="0" w:color="auto"/>
                      </w:divBdr>
                      <w:divsChild>
                        <w:div w:id="7052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232849">
      <w:bodyDiv w:val="1"/>
      <w:marLeft w:val="0"/>
      <w:marRight w:val="0"/>
      <w:marTop w:val="0"/>
      <w:marBottom w:val="0"/>
      <w:divBdr>
        <w:top w:val="none" w:sz="0" w:space="0" w:color="auto"/>
        <w:left w:val="none" w:sz="0" w:space="0" w:color="auto"/>
        <w:bottom w:val="none" w:sz="0" w:space="0" w:color="auto"/>
        <w:right w:val="none" w:sz="0" w:space="0" w:color="auto"/>
      </w:divBdr>
    </w:div>
    <w:div w:id="1756853898">
      <w:bodyDiv w:val="1"/>
      <w:marLeft w:val="0"/>
      <w:marRight w:val="0"/>
      <w:marTop w:val="0"/>
      <w:marBottom w:val="0"/>
      <w:divBdr>
        <w:top w:val="none" w:sz="0" w:space="0" w:color="auto"/>
        <w:left w:val="none" w:sz="0" w:space="0" w:color="auto"/>
        <w:bottom w:val="none" w:sz="0" w:space="0" w:color="auto"/>
        <w:right w:val="none" w:sz="0" w:space="0" w:color="auto"/>
      </w:divBdr>
      <w:divsChild>
        <w:div w:id="229073462">
          <w:marLeft w:val="0"/>
          <w:marRight w:val="0"/>
          <w:marTop w:val="0"/>
          <w:marBottom w:val="0"/>
          <w:divBdr>
            <w:top w:val="single" w:sz="2" w:space="0" w:color="999999"/>
            <w:left w:val="single" w:sz="4" w:space="0" w:color="999999"/>
            <w:bottom w:val="single" w:sz="2" w:space="0" w:color="999999"/>
            <w:right w:val="single" w:sz="4" w:space="0" w:color="999999"/>
          </w:divBdr>
          <w:divsChild>
            <w:div w:id="2025474460">
              <w:marLeft w:val="0"/>
              <w:marRight w:val="0"/>
              <w:marTop w:val="0"/>
              <w:marBottom w:val="0"/>
              <w:divBdr>
                <w:top w:val="none" w:sz="0" w:space="0" w:color="auto"/>
                <w:left w:val="none" w:sz="0" w:space="0" w:color="auto"/>
                <w:bottom w:val="none" w:sz="0" w:space="0" w:color="auto"/>
                <w:right w:val="none" w:sz="0" w:space="0" w:color="auto"/>
              </w:divBdr>
              <w:divsChild>
                <w:div w:id="278100917">
                  <w:marLeft w:val="0"/>
                  <w:marRight w:val="0"/>
                  <w:marTop w:val="0"/>
                  <w:marBottom w:val="480"/>
                  <w:divBdr>
                    <w:top w:val="none" w:sz="0" w:space="0" w:color="auto"/>
                    <w:left w:val="none" w:sz="0" w:space="0" w:color="auto"/>
                    <w:bottom w:val="none" w:sz="0" w:space="0" w:color="auto"/>
                    <w:right w:val="none" w:sz="0" w:space="0" w:color="auto"/>
                  </w:divBdr>
                  <w:divsChild>
                    <w:div w:id="114033531">
                      <w:marLeft w:val="0"/>
                      <w:marRight w:val="0"/>
                      <w:marTop w:val="0"/>
                      <w:marBottom w:val="0"/>
                      <w:divBdr>
                        <w:top w:val="none" w:sz="0" w:space="0" w:color="auto"/>
                        <w:left w:val="none" w:sz="0" w:space="0" w:color="auto"/>
                        <w:bottom w:val="none" w:sz="0" w:space="0" w:color="auto"/>
                        <w:right w:val="none" w:sz="0" w:space="0" w:color="auto"/>
                      </w:divBdr>
                      <w:divsChild>
                        <w:div w:id="18811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63365">
      <w:bodyDiv w:val="1"/>
      <w:marLeft w:val="0"/>
      <w:marRight w:val="0"/>
      <w:marTop w:val="0"/>
      <w:marBottom w:val="0"/>
      <w:divBdr>
        <w:top w:val="none" w:sz="0" w:space="0" w:color="auto"/>
        <w:left w:val="none" w:sz="0" w:space="0" w:color="auto"/>
        <w:bottom w:val="none" w:sz="0" w:space="0" w:color="auto"/>
        <w:right w:val="none" w:sz="0" w:space="0" w:color="auto"/>
      </w:divBdr>
    </w:div>
    <w:div w:id="1772125378">
      <w:bodyDiv w:val="1"/>
      <w:marLeft w:val="0"/>
      <w:marRight w:val="0"/>
      <w:marTop w:val="0"/>
      <w:marBottom w:val="0"/>
      <w:divBdr>
        <w:top w:val="none" w:sz="0" w:space="0" w:color="auto"/>
        <w:left w:val="none" w:sz="0" w:space="0" w:color="auto"/>
        <w:bottom w:val="none" w:sz="0" w:space="0" w:color="auto"/>
        <w:right w:val="none" w:sz="0" w:space="0" w:color="auto"/>
      </w:divBdr>
    </w:div>
    <w:div w:id="1836996404">
      <w:bodyDiv w:val="1"/>
      <w:marLeft w:val="0"/>
      <w:marRight w:val="0"/>
      <w:marTop w:val="0"/>
      <w:marBottom w:val="0"/>
      <w:divBdr>
        <w:top w:val="none" w:sz="0" w:space="0" w:color="auto"/>
        <w:left w:val="none" w:sz="0" w:space="0" w:color="auto"/>
        <w:bottom w:val="none" w:sz="0" w:space="0" w:color="auto"/>
        <w:right w:val="none" w:sz="0" w:space="0" w:color="auto"/>
      </w:divBdr>
    </w:div>
    <w:div w:id="1887371679">
      <w:bodyDiv w:val="1"/>
      <w:marLeft w:val="0"/>
      <w:marRight w:val="0"/>
      <w:marTop w:val="0"/>
      <w:marBottom w:val="0"/>
      <w:divBdr>
        <w:top w:val="none" w:sz="0" w:space="0" w:color="auto"/>
        <w:left w:val="none" w:sz="0" w:space="0" w:color="auto"/>
        <w:bottom w:val="none" w:sz="0" w:space="0" w:color="auto"/>
        <w:right w:val="none" w:sz="0" w:space="0" w:color="auto"/>
      </w:divBdr>
    </w:div>
    <w:div w:id="1943956237">
      <w:bodyDiv w:val="1"/>
      <w:marLeft w:val="0"/>
      <w:marRight w:val="0"/>
      <w:marTop w:val="0"/>
      <w:marBottom w:val="0"/>
      <w:divBdr>
        <w:top w:val="none" w:sz="0" w:space="0" w:color="auto"/>
        <w:left w:val="none" w:sz="0" w:space="0" w:color="auto"/>
        <w:bottom w:val="none" w:sz="0" w:space="0" w:color="auto"/>
        <w:right w:val="none" w:sz="0" w:space="0" w:color="auto"/>
      </w:divBdr>
    </w:div>
    <w:div w:id="1949968843">
      <w:bodyDiv w:val="1"/>
      <w:marLeft w:val="0"/>
      <w:marRight w:val="0"/>
      <w:marTop w:val="0"/>
      <w:marBottom w:val="0"/>
      <w:divBdr>
        <w:top w:val="none" w:sz="0" w:space="0" w:color="auto"/>
        <w:left w:val="none" w:sz="0" w:space="0" w:color="auto"/>
        <w:bottom w:val="none" w:sz="0" w:space="0" w:color="auto"/>
        <w:right w:val="none" w:sz="0" w:space="0" w:color="auto"/>
      </w:divBdr>
    </w:div>
    <w:div w:id="1986735730">
      <w:bodyDiv w:val="1"/>
      <w:marLeft w:val="0"/>
      <w:marRight w:val="0"/>
      <w:marTop w:val="0"/>
      <w:marBottom w:val="0"/>
      <w:divBdr>
        <w:top w:val="none" w:sz="0" w:space="0" w:color="auto"/>
        <w:left w:val="none" w:sz="0" w:space="0" w:color="auto"/>
        <w:bottom w:val="none" w:sz="0" w:space="0" w:color="auto"/>
        <w:right w:val="none" w:sz="0" w:space="0" w:color="auto"/>
      </w:divBdr>
    </w:div>
    <w:div w:id="2037803243">
      <w:bodyDiv w:val="1"/>
      <w:marLeft w:val="0"/>
      <w:marRight w:val="0"/>
      <w:marTop w:val="0"/>
      <w:marBottom w:val="0"/>
      <w:divBdr>
        <w:top w:val="none" w:sz="0" w:space="0" w:color="auto"/>
        <w:left w:val="none" w:sz="0" w:space="0" w:color="auto"/>
        <w:bottom w:val="none" w:sz="0" w:space="0" w:color="auto"/>
        <w:right w:val="none" w:sz="0" w:space="0" w:color="auto"/>
      </w:divBdr>
    </w:div>
    <w:div w:id="2041198419">
      <w:bodyDiv w:val="1"/>
      <w:marLeft w:val="0"/>
      <w:marRight w:val="0"/>
      <w:marTop w:val="0"/>
      <w:marBottom w:val="0"/>
      <w:divBdr>
        <w:top w:val="none" w:sz="0" w:space="0" w:color="auto"/>
        <w:left w:val="none" w:sz="0" w:space="0" w:color="auto"/>
        <w:bottom w:val="none" w:sz="0" w:space="0" w:color="auto"/>
        <w:right w:val="none" w:sz="0" w:space="0" w:color="auto"/>
      </w:divBdr>
    </w:div>
    <w:div w:id="2064330593">
      <w:bodyDiv w:val="1"/>
      <w:marLeft w:val="0"/>
      <w:marRight w:val="0"/>
      <w:marTop w:val="0"/>
      <w:marBottom w:val="0"/>
      <w:divBdr>
        <w:top w:val="none" w:sz="0" w:space="0" w:color="auto"/>
        <w:left w:val="none" w:sz="0" w:space="0" w:color="auto"/>
        <w:bottom w:val="none" w:sz="0" w:space="0" w:color="auto"/>
        <w:right w:val="none" w:sz="0" w:space="0" w:color="auto"/>
      </w:divBdr>
    </w:div>
    <w:div w:id="214650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WATC01SC01\CorporateData\Advisory%20Services\Client%20Engagements\Department%20of%20Local%20Government\2016%20-%20Web%20Based%20FSS%20Scores\Analysis\DLGC%20Web%20Based%20FSS%20Model%20v1.4.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ATC01SC01\CorporateData\Advisory%20Services\Client%20Engagements\Department%20of%20Local%20Government\2016%20-%20Web%20Based%20FSS%20Scores\Analysis\DLGC%20Web%20Based%20FSS%20Model%20v1.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Financial Ratio Comparison</a:t>
            </a:r>
          </a:p>
        </c:rich>
      </c:tx>
      <c:layout/>
      <c:overlay val="1"/>
      <c:spPr>
        <a:noFill/>
        <a:ln>
          <a:noFill/>
        </a:ln>
        <a:effectLst/>
      </c:spPr>
    </c:title>
    <c:autoTitleDeleted val="0"/>
    <c:plotArea>
      <c:layout>
        <c:manualLayout>
          <c:layoutTarget val="inner"/>
          <c:xMode val="edge"/>
          <c:yMode val="edge"/>
          <c:x val="0.22547258909361007"/>
          <c:y val="0.1787188320210078"/>
          <c:w val="0.52739453246511292"/>
          <c:h val="0.64541315405684208"/>
        </c:manualLayout>
      </c:layout>
      <c:radarChart>
        <c:radarStyle val="marker"/>
        <c:varyColors val="0"/>
        <c:ser>
          <c:idx val="0"/>
          <c:order val="0"/>
          <c:tx>
            <c:strRef>
              <c:f>'Summary Workings'!$J$9</c:f>
              <c:strCache>
                <c:ptCount val="1"/>
                <c:pt idx="0">
                  <c:v>Albany City 2014</c:v>
                </c:pt>
              </c:strCache>
            </c:strRef>
          </c:tx>
          <c:spPr>
            <a:ln w="19050" cap="rnd">
              <a:solidFill>
                <a:schemeClr val="accent1"/>
              </a:solidFill>
              <a:round/>
            </a:ln>
            <a:effectLst/>
          </c:spPr>
          <c:marker>
            <c:symbol val="none"/>
          </c:marker>
          <c:cat>
            <c:strRef>
              <c:f>'Summary Workings'!$I$10:$I$16</c:f>
              <c:strCache>
                <c:ptCount val="7"/>
                <c:pt idx="0">
                  <c:v>Current Score</c:v>
                </c:pt>
                <c:pt idx="1">
                  <c:v>Asset Consumption Score</c:v>
                </c:pt>
                <c:pt idx="2">
                  <c:v>Asset Renewal Score</c:v>
                </c:pt>
                <c:pt idx="3">
                  <c:v>Asset Sustainability Score</c:v>
                </c:pt>
                <c:pt idx="4">
                  <c:v>Debt Service Coverage Score</c:v>
                </c:pt>
                <c:pt idx="5">
                  <c:v>Operating Surplus Score</c:v>
                </c:pt>
                <c:pt idx="6">
                  <c:v>Own Source Revenue Score</c:v>
                </c:pt>
              </c:strCache>
            </c:strRef>
          </c:cat>
          <c:val>
            <c:numRef>
              <c:f>'Summary Workings'!$J$10:$J$16</c:f>
              <c:numCache>
                <c:formatCode>0.0</c:formatCode>
                <c:ptCount val="7"/>
                <c:pt idx="0">
                  <c:v>9.16</c:v>
                </c:pt>
                <c:pt idx="1">
                  <c:v>8.92</c:v>
                </c:pt>
                <c:pt idx="2">
                  <c:v>9.1428571428571423</c:v>
                </c:pt>
                <c:pt idx="3">
                  <c:v>8.9</c:v>
                </c:pt>
                <c:pt idx="4">
                  <c:v>7.1387499999999999</c:v>
                </c:pt>
                <c:pt idx="5">
                  <c:v>0</c:v>
                </c:pt>
                <c:pt idx="6">
                  <c:v>8.35</c:v>
                </c:pt>
              </c:numCache>
            </c:numRef>
          </c:val>
        </c:ser>
        <c:ser>
          <c:idx val="1"/>
          <c:order val="1"/>
          <c:tx>
            <c:strRef>
              <c:f>'Summary Workings'!$K$9</c:f>
              <c:strCache>
                <c:ptCount val="1"/>
                <c:pt idx="0">
                  <c:v>Bayswater City 2014</c:v>
                </c:pt>
              </c:strCache>
            </c:strRef>
          </c:tx>
          <c:spPr>
            <a:ln w="19050" cap="rnd">
              <a:solidFill>
                <a:schemeClr val="accent2"/>
              </a:solidFill>
              <a:round/>
            </a:ln>
            <a:effectLst/>
          </c:spPr>
          <c:marker>
            <c:symbol val="none"/>
          </c:marker>
          <c:cat>
            <c:strRef>
              <c:f>'Summary Workings'!$I$10:$I$16</c:f>
              <c:strCache>
                <c:ptCount val="7"/>
                <c:pt idx="0">
                  <c:v>Current Score</c:v>
                </c:pt>
                <c:pt idx="1">
                  <c:v>Asset Consumption Score</c:v>
                </c:pt>
                <c:pt idx="2">
                  <c:v>Asset Renewal Score</c:v>
                </c:pt>
                <c:pt idx="3">
                  <c:v>Asset Sustainability Score</c:v>
                </c:pt>
                <c:pt idx="4">
                  <c:v>Debt Service Coverage Score</c:v>
                </c:pt>
                <c:pt idx="5">
                  <c:v>Operating Surplus Score</c:v>
                </c:pt>
                <c:pt idx="6">
                  <c:v>Own Source Revenue Score</c:v>
                </c:pt>
              </c:strCache>
            </c:strRef>
          </c:cat>
          <c:val>
            <c:numRef>
              <c:f>'Summary Workings'!$K$10:$K$16</c:f>
              <c:numCache>
                <c:formatCode>0.0</c:formatCode>
                <c:ptCount val="7"/>
                <c:pt idx="0">
                  <c:v>8.02</c:v>
                </c:pt>
                <c:pt idx="1">
                  <c:v>10</c:v>
                </c:pt>
                <c:pt idx="2">
                  <c:v>7.9831428571428571</c:v>
                </c:pt>
                <c:pt idx="3">
                  <c:v>10</c:v>
                </c:pt>
                <c:pt idx="4">
                  <c:v>10</c:v>
                </c:pt>
                <c:pt idx="5">
                  <c:v>9.3970000000000002</c:v>
                </c:pt>
                <c:pt idx="6">
                  <c:v>8.14</c:v>
                </c:pt>
              </c:numCache>
            </c:numRef>
          </c:val>
        </c:ser>
        <c:ser>
          <c:idx val="2"/>
          <c:order val="2"/>
          <c:tx>
            <c:strRef>
              <c:f>'Summary Workings'!$L$9</c:f>
              <c:strCache>
                <c:ptCount val="1"/>
                <c:pt idx="0">
                  <c:v>Benchmark</c:v>
                </c:pt>
              </c:strCache>
            </c:strRef>
          </c:tx>
          <c:spPr>
            <a:ln w="19050" cap="rnd">
              <a:solidFill>
                <a:schemeClr val="tx1">
                  <a:lumMod val="65000"/>
                  <a:lumOff val="35000"/>
                </a:schemeClr>
              </a:solidFill>
              <a:prstDash val="dash"/>
              <a:round/>
            </a:ln>
            <a:effectLst/>
          </c:spPr>
          <c:marker>
            <c:symbol val="none"/>
          </c:marker>
          <c:cat>
            <c:strRef>
              <c:f>'Summary Workings'!$I$10:$I$16</c:f>
              <c:strCache>
                <c:ptCount val="7"/>
                <c:pt idx="0">
                  <c:v>Current Score</c:v>
                </c:pt>
                <c:pt idx="1">
                  <c:v>Asset Consumption Score</c:v>
                </c:pt>
                <c:pt idx="2">
                  <c:v>Asset Renewal Score</c:v>
                </c:pt>
                <c:pt idx="3">
                  <c:v>Asset Sustainability Score</c:v>
                </c:pt>
                <c:pt idx="4">
                  <c:v>Debt Service Coverage Score</c:v>
                </c:pt>
                <c:pt idx="5">
                  <c:v>Operating Surplus Score</c:v>
                </c:pt>
                <c:pt idx="6">
                  <c:v>Own Source Revenue Score</c:v>
                </c:pt>
              </c:strCache>
            </c:strRef>
          </c:cat>
          <c:val>
            <c:numRef>
              <c:f>'Summary Workings'!$L$10:$L$16</c:f>
              <c:numCache>
                <c:formatCode>0.00</c:formatCode>
                <c:ptCount val="7"/>
                <c:pt idx="0">
                  <c:v>7</c:v>
                </c:pt>
                <c:pt idx="1">
                  <c:v>7</c:v>
                </c:pt>
                <c:pt idx="2">
                  <c:v>7</c:v>
                </c:pt>
                <c:pt idx="3">
                  <c:v>7</c:v>
                </c:pt>
                <c:pt idx="4">
                  <c:v>7</c:v>
                </c:pt>
                <c:pt idx="5">
                  <c:v>7</c:v>
                </c:pt>
                <c:pt idx="6">
                  <c:v>7</c:v>
                </c:pt>
              </c:numCache>
            </c:numRef>
          </c:val>
        </c:ser>
        <c:dLbls>
          <c:showLegendKey val="0"/>
          <c:showVal val="0"/>
          <c:showCatName val="0"/>
          <c:showSerName val="0"/>
          <c:showPercent val="0"/>
          <c:showBubbleSize val="0"/>
        </c:dLbls>
        <c:axId val="415771832"/>
        <c:axId val="415771048"/>
      </c:radarChart>
      <c:catAx>
        <c:axId val="4157718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5771048"/>
        <c:crosses val="autoZero"/>
        <c:auto val="1"/>
        <c:lblAlgn val="ctr"/>
        <c:lblOffset val="100"/>
        <c:noMultiLvlLbl val="0"/>
      </c:catAx>
      <c:valAx>
        <c:axId val="415771048"/>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5771832"/>
        <c:crosses val="autoZero"/>
        <c:crossBetween val="between"/>
        <c:majorUnit val="2"/>
        <c:minorUnit val="1"/>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Arial" panose="020B0604020202020204" pitchFamily="34" charset="0"/>
                <a:cs typeface="Arial" panose="020B0604020202020204" pitchFamily="34" charset="0"/>
              </a:defRPr>
            </a:pPr>
            <a:r>
              <a:rPr lang="en-AU" sz="1400">
                <a:latin typeface="Arial" panose="020B0604020202020204" pitchFamily="34" charset="0"/>
                <a:cs typeface="Arial" panose="020B0604020202020204" pitchFamily="34" charset="0"/>
              </a:rPr>
              <a:t>FHI </a:t>
            </a:r>
            <a:r>
              <a:rPr lang="en-AU" sz="1400" baseline="0">
                <a:latin typeface="Arial" panose="020B0604020202020204" pitchFamily="34" charset="0"/>
                <a:cs typeface="Arial" panose="020B0604020202020204" pitchFamily="34" charset="0"/>
              </a:rPr>
              <a:t>C</a:t>
            </a:r>
            <a:r>
              <a:rPr lang="en-AU" sz="1400">
                <a:latin typeface="Arial" panose="020B0604020202020204" pitchFamily="34" charset="0"/>
                <a:cs typeface="Arial" panose="020B0604020202020204" pitchFamily="34" charset="0"/>
              </a:rPr>
              <a:t>omparison </a:t>
            </a:r>
          </a:p>
        </c:rich>
      </c:tx>
      <c:layout/>
      <c:overlay val="0"/>
    </c:title>
    <c:autoTitleDeleted val="0"/>
    <c:plotArea>
      <c:layout>
        <c:manualLayout>
          <c:layoutTarget val="inner"/>
          <c:xMode val="edge"/>
          <c:yMode val="edge"/>
          <c:x val="0.11680617523184712"/>
          <c:y val="0.1655006574897242"/>
          <c:w val="0.77414742379542256"/>
          <c:h val="0.72302356276390245"/>
        </c:manualLayout>
      </c:layout>
      <c:barChart>
        <c:barDir val="col"/>
        <c:grouping val="stacked"/>
        <c:varyColors val="0"/>
        <c:ser>
          <c:idx val="2"/>
          <c:order val="0"/>
          <c:tx>
            <c:strRef>
              <c:f>'Summary Workings'!$C$11</c:f>
              <c:strCache>
                <c:ptCount val="1"/>
                <c:pt idx="0">
                  <c:v>Q1</c:v>
                </c:pt>
              </c:strCache>
            </c:strRef>
          </c:tx>
          <c:spPr>
            <a:noFill/>
          </c:spPr>
          <c:invertIfNegative val="0"/>
          <c:errBars>
            <c:errBarType val="minus"/>
            <c:errValType val="cust"/>
            <c:noEndCap val="0"/>
            <c:plus>
              <c:numRef>
                <c:f>'Summary Workings'!$D$17:$E$17</c:f>
                <c:numCache>
                  <c:formatCode>General</c:formatCode>
                  <c:ptCount val="2"/>
                  <c:pt idx="0">
                    <c:v>29.853265556232031</c:v>
                  </c:pt>
                  <c:pt idx="1">
                    <c:v>29.853265556232031</c:v>
                  </c:pt>
                </c:numCache>
              </c:numRef>
            </c:plus>
            <c:minus>
              <c:numRef>
                <c:f>'Summary Workings'!$D$18:$E$18</c:f>
                <c:numCache>
                  <c:formatCode>General</c:formatCode>
                  <c:ptCount val="2"/>
                  <c:pt idx="0">
                    <c:v>37.789066042655868</c:v>
                  </c:pt>
                  <c:pt idx="1">
                    <c:v>37.789066042655868</c:v>
                  </c:pt>
                </c:numCache>
              </c:numRef>
            </c:minus>
          </c:errBars>
          <c:cat>
            <c:strRef>
              <c:f>'Summary Workings'!$D$9:$E$9</c:f>
              <c:strCache>
                <c:ptCount val="2"/>
                <c:pt idx="0">
                  <c:v>FSS 2014</c:v>
                </c:pt>
                <c:pt idx="1">
                  <c:v>FSS 2014</c:v>
                </c:pt>
              </c:strCache>
            </c:strRef>
          </c:cat>
          <c:val>
            <c:numRef>
              <c:f>'Summary Workings'!$D$11:$E$11</c:f>
              <c:numCache>
                <c:formatCode>0</c:formatCode>
                <c:ptCount val="2"/>
                <c:pt idx="0">
                  <c:v>41.57771046694284</c:v>
                </c:pt>
                <c:pt idx="1">
                  <c:v>41.57771046694284</c:v>
                </c:pt>
              </c:numCache>
            </c:numRef>
          </c:val>
        </c:ser>
        <c:ser>
          <c:idx val="1"/>
          <c:order val="1"/>
          <c:tx>
            <c:strRef>
              <c:f>'Summary Workings'!$C$16</c:f>
              <c:strCache>
                <c:ptCount val="1"/>
                <c:pt idx="0">
                  <c:v>Median - Q1</c:v>
                </c:pt>
              </c:strCache>
            </c:strRef>
          </c:tx>
          <c:spPr>
            <a:solidFill>
              <a:srgbClr val="4F81BD">
                <a:alpha val="20000"/>
              </a:srgbClr>
            </a:solidFill>
            <a:ln>
              <a:solidFill>
                <a:schemeClr val="tx1"/>
              </a:solidFill>
            </a:ln>
          </c:spPr>
          <c:invertIfNegative val="0"/>
          <c:cat>
            <c:strRef>
              <c:f>'Summary Workings'!$D$9:$E$9</c:f>
              <c:strCache>
                <c:ptCount val="2"/>
                <c:pt idx="0">
                  <c:v>FSS 2014</c:v>
                </c:pt>
                <c:pt idx="1">
                  <c:v>FSS 2014</c:v>
                </c:pt>
              </c:strCache>
            </c:strRef>
          </c:cat>
          <c:val>
            <c:numRef>
              <c:f>'Summary Workings'!$D$16:$E$16</c:f>
              <c:numCache>
                <c:formatCode>0</c:formatCode>
                <c:ptCount val="2"/>
                <c:pt idx="0">
                  <c:v>14.653633297829963</c:v>
                </c:pt>
                <c:pt idx="1">
                  <c:v>14.653633297829963</c:v>
                </c:pt>
              </c:numCache>
            </c:numRef>
          </c:val>
        </c:ser>
        <c:ser>
          <c:idx val="0"/>
          <c:order val="2"/>
          <c:tx>
            <c:strRef>
              <c:f>'Summary Workings'!$C$15</c:f>
              <c:strCache>
                <c:ptCount val="1"/>
                <c:pt idx="0">
                  <c:v>Q3 - Median</c:v>
                </c:pt>
              </c:strCache>
            </c:strRef>
          </c:tx>
          <c:spPr>
            <a:solidFill>
              <a:srgbClr val="003B65">
                <a:lumMod val="25000"/>
                <a:lumOff val="75000"/>
                <a:alpha val="20000"/>
              </a:srgbClr>
            </a:solidFill>
            <a:ln>
              <a:solidFill>
                <a:prstClr val="black"/>
              </a:solidFill>
            </a:ln>
          </c:spPr>
          <c:invertIfNegative val="0"/>
          <c:errBars>
            <c:errBarType val="plus"/>
            <c:errValType val="cust"/>
            <c:noEndCap val="0"/>
            <c:plus>
              <c:numRef>
                <c:f>'Summary Workings'!$D$17:$E$17</c:f>
                <c:numCache>
                  <c:formatCode>General</c:formatCode>
                  <c:ptCount val="2"/>
                  <c:pt idx="0">
                    <c:v>29.853265556232031</c:v>
                  </c:pt>
                  <c:pt idx="1">
                    <c:v>29.853265556232031</c:v>
                  </c:pt>
                </c:numCache>
              </c:numRef>
            </c:plus>
            <c:minus>
              <c:numRef>
                <c:f>'Summary Workings'!$D$18:$E$18</c:f>
                <c:numCache>
                  <c:formatCode>General</c:formatCode>
                  <c:ptCount val="2"/>
                  <c:pt idx="0">
                    <c:v>37.789066042655868</c:v>
                  </c:pt>
                  <c:pt idx="1">
                    <c:v>37.789066042655868</c:v>
                  </c:pt>
                </c:numCache>
              </c:numRef>
            </c:minus>
          </c:errBars>
          <c:cat>
            <c:strRef>
              <c:f>'Summary Workings'!$D$9:$E$9</c:f>
              <c:strCache>
                <c:ptCount val="2"/>
                <c:pt idx="0">
                  <c:v>FSS 2014</c:v>
                </c:pt>
                <c:pt idx="1">
                  <c:v>FSS 2014</c:v>
                </c:pt>
              </c:strCache>
            </c:strRef>
          </c:cat>
          <c:val>
            <c:numRef>
              <c:f>'Summary Workings'!$D$15:$E$15</c:f>
              <c:numCache>
                <c:formatCode>0</c:formatCode>
                <c:ptCount val="2"/>
                <c:pt idx="0">
                  <c:v>13.544353074581991</c:v>
                </c:pt>
                <c:pt idx="1">
                  <c:v>13.544353074581991</c:v>
                </c:pt>
              </c:numCache>
            </c:numRef>
          </c:val>
        </c:ser>
        <c:dLbls>
          <c:showLegendKey val="0"/>
          <c:showVal val="0"/>
          <c:showCatName val="0"/>
          <c:showSerName val="0"/>
          <c:showPercent val="0"/>
          <c:showBubbleSize val="0"/>
        </c:dLbls>
        <c:gapWidth val="163"/>
        <c:overlap val="100"/>
        <c:axId val="415773008"/>
        <c:axId val="415772224"/>
      </c:barChart>
      <c:lineChart>
        <c:grouping val="standard"/>
        <c:varyColors val="0"/>
        <c:ser>
          <c:idx val="5"/>
          <c:order val="3"/>
          <c:tx>
            <c:strRef>
              <c:f>Summary!$C$19:$C$20</c:f>
              <c:strCache>
                <c:ptCount val="1"/>
                <c:pt idx="0">
                  <c:v>2014 - Albany City 2014 - Bayswater City</c:v>
                </c:pt>
              </c:strCache>
            </c:strRef>
          </c:tx>
          <c:spPr>
            <a:ln>
              <a:solidFill>
                <a:srgbClr val="C0504D">
                  <a:alpha val="30000"/>
                </a:srgbClr>
              </a:solidFill>
              <a:prstDash val="sysDot"/>
            </a:ln>
          </c:spPr>
          <c:marker>
            <c:symbol val="diamond"/>
            <c:size val="5"/>
          </c:marker>
          <c:dLbls>
            <c:dLbl>
              <c:idx val="0"/>
              <c:layout/>
              <c:tx>
                <c:rich>
                  <a:bodyPr/>
                  <a:lstStyle/>
                  <a:p>
                    <a:fld id="{54D8E873-CD11-45DD-A1F8-896E0901BA72}" type="CELLRANGE">
                      <a:rPr lang="en-US"/>
                      <a:pPr/>
                      <a:t>[CELLRANGE]</a:t>
                    </a:fld>
                    <a:r>
                      <a:rPr lang="en-US" baseline="0"/>
                      <a:t>; </a:t>
                    </a:r>
                    <a:fld id="{0D17270C-EB06-4085-BCBE-9EF97FB1F7BC}" type="VALUE">
                      <a:rPr lang="en-US" baseline="0"/>
                      <a:pPr/>
                      <a:t>[VALUE]</a:t>
                    </a:fld>
                    <a:endParaRPr lang="en-US" baseline="0"/>
                  </a:p>
                </c:rich>
              </c:tx>
              <c:dLblPos val="l"/>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manualLayout>
                  <c:x val="-0.23264253771015805"/>
                  <c:y val="7.6176807692125452E-3"/>
                </c:manualLayout>
              </c:layout>
              <c:tx>
                <c:rich>
                  <a:bodyPr/>
                  <a:lstStyle/>
                  <a:p>
                    <a:fld id="{1B0CD208-698B-44D3-BD69-1D6AE8339F7B}" type="CELLRANGE">
                      <a:rPr lang="en-US" baseline="0"/>
                      <a:pPr/>
                      <a:t>[CELLRANGE]</a:t>
                    </a:fld>
                    <a:r>
                      <a:rPr lang="en-US" baseline="0"/>
                      <a:t>; </a:t>
                    </a:r>
                    <a:fld id="{976C38EE-61E4-49D9-8B7A-0EBD2DF76915}" type="VALUE">
                      <a:rPr lang="en-US" baseline="0"/>
                      <a:pPr/>
                      <a:t>[VALUE]</a:t>
                    </a:fld>
                    <a:endParaRPr lang="en-US" baseline="0"/>
                  </a:p>
                </c:rich>
              </c:tx>
              <c:dLblPos val="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spPr>
              <a:noFill/>
              <a:ln>
                <a:noFill/>
              </a:ln>
              <a:effectLst/>
            </c:spPr>
            <c:txPr>
              <a:bodyPr/>
              <a:lstStyle/>
              <a:p>
                <a:pPr>
                  <a:defRPr sz="800" b="0">
                    <a:latin typeface="Arial" panose="020B0604020202020204" pitchFamily="34" charset="0"/>
                    <a:cs typeface="Arial" panose="020B0604020202020204" pitchFamily="34" charset="0"/>
                  </a:defRPr>
                </a:pPr>
                <a:endParaRPr lang="en-US"/>
              </a:p>
            </c:txPr>
            <c:dLblPos val="l"/>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ext>
            </c:extLst>
          </c:dLbls>
          <c:cat>
            <c:strRef>
              <c:f>[2]Ministerial!$CQ$125:$CR$125</c:f>
              <c:strCache>
                <c:ptCount val="2"/>
                <c:pt idx="0">
                  <c:v>FSS 2010-13</c:v>
                </c:pt>
                <c:pt idx="1">
                  <c:v>FSS 2010-17</c:v>
                </c:pt>
              </c:strCache>
            </c:strRef>
          </c:cat>
          <c:val>
            <c:numRef>
              <c:f>Summary!$D$19:$D$20</c:f>
              <c:numCache>
                <c:formatCode>#,##0</c:formatCode>
                <c:ptCount val="2"/>
                <c:pt idx="0">
                  <c:v>66.721118010981868</c:v>
                </c:pt>
                <c:pt idx="1">
                  <c:v>90.377020981948561</c:v>
                </c:pt>
              </c:numCache>
            </c:numRef>
          </c:val>
          <c:smooth val="0"/>
          <c:extLst>
            <c:ext xmlns:c15="http://schemas.microsoft.com/office/drawing/2012/chart" uri="{02D57815-91ED-43cb-92C2-25804820EDAC}">
              <c15:datalabelsRange>
                <c15:f>Summary!$C$19:$C$20</c15:f>
                <c15:dlblRangeCache>
                  <c:ptCount val="2"/>
                  <c:pt idx="0">
                    <c:v>2014 - Albany City</c:v>
                  </c:pt>
                  <c:pt idx="1">
                    <c:v>2014 - Bayswater City</c:v>
                  </c:pt>
                </c15:dlblRangeCache>
              </c15:datalabelsRange>
            </c:ext>
          </c:extLst>
        </c:ser>
        <c:dLbls>
          <c:showLegendKey val="0"/>
          <c:showVal val="0"/>
          <c:showCatName val="0"/>
          <c:showSerName val="0"/>
          <c:showPercent val="0"/>
          <c:showBubbleSize val="0"/>
        </c:dLbls>
        <c:marker val="1"/>
        <c:smooth val="0"/>
        <c:axId val="415770264"/>
        <c:axId val="415773400"/>
      </c:lineChart>
      <c:catAx>
        <c:axId val="415773008"/>
        <c:scaling>
          <c:orientation val="minMax"/>
        </c:scaling>
        <c:delete val="0"/>
        <c:axPos val="b"/>
        <c:numFmt formatCode="General" sourceLinked="0"/>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en-US"/>
          </a:p>
        </c:txPr>
        <c:crossAx val="415772224"/>
        <c:crosses val="autoZero"/>
        <c:auto val="1"/>
        <c:lblAlgn val="ctr"/>
        <c:lblOffset val="100"/>
        <c:noMultiLvlLbl val="0"/>
      </c:catAx>
      <c:valAx>
        <c:axId val="415772224"/>
        <c:scaling>
          <c:orientation val="minMax"/>
          <c:max val="1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rot="-5400000" vert="horz"/>
              <a:lstStyle/>
              <a:p>
                <a:pPr>
                  <a:defRPr sz="800" b="1">
                    <a:latin typeface="Arial" panose="020B0604020202020204" pitchFamily="34" charset="0"/>
                    <a:cs typeface="Arial" panose="020B0604020202020204" pitchFamily="34" charset="0"/>
                  </a:defRPr>
                </a:pPr>
                <a:r>
                  <a:rPr lang="en-AU" sz="800" b="1">
                    <a:latin typeface="Arial" panose="020B0604020202020204" pitchFamily="34" charset="0"/>
                    <a:cs typeface="Arial" panose="020B0604020202020204" pitchFamily="34" charset="0"/>
                  </a:rPr>
                  <a:t>AFHC</a:t>
                </a:r>
              </a:p>
            </c:rich>
          </c:tx>
          <c:layout/>
          <c:overlay val="0"/>
        </c:title>
        <c:numFmt formatCode="0" sourceLinked="1"/>
        <c:majorTickMark val="out"/>
        <c:minorTickMark val="none"/>
        <c:tickLblPos val="nextTo"/>
        <c:txPr>
          <a:bodyPr/>
          <a:lstStyle/>
          <a:p>
            <a:pPr>
              <a:defRPr sz="800" b="0"/>
            </a:pPr>
            <a:endParaRPr lang="en-US"/>
          </a:p>
        </c:txPr>
        <c:crossAx val="415773008"/>
        <c:crosses val="autoZero"/>
        <c:crossBetween val="between"/>
      </c:valAx>
      <c:valAx>
        <c:axId val="415773400"/>
        <c:scaling>
          <c:orientation val="minMax"/>
          <c:max val="100"/>
          <c:min val="0"/>
        </c:scaling>
        <c:delete val="0"/>
        <c:axPos val="r"/>
        <c:numFmt formatCode="#,##0" sourceLinked="1"/>
        <c:majorTickMark val="out"/>
        <c:minorTickMark val="none"/>
        <c:tickLblPos val="nextTo"/>
        <c:txPr>
          <a:bodyPr/>
          <a:lstStyle/>
          <a:p>
            <a:pPr>
              <a:defRPr sz="800"/>
            </a:pPr>
            <a:endParaRPr lang="en-US"/>
          </a:p>
        </c:txPr>
        <c:crossAx val="415770264"/>
        <c:crosses val="max"/>
        <c:crossBetween val="between"/>
      </c:valAx>
      <c:catAx>
        <c:axId val="415770264"/>
        <c:scaling>
          <c:orientation val="minMax"/>
        </c:scaling>
        <c:delete val="1"/>
        <c:axPos val="b"/>
        <c:numFmt formatCode="General" sourceLinked="1"/>
        <c:majorTickMark val="out"/>
        <c:minorTickMark val="none"/>
        <c:tickLblPos val="none"/>
        <c:crossAx val="415773400"/>
        <c:crosses val="autoZero"/>
        <c:auto val="1"/>
        <c:lblAlgn val="ctr"/>
        <c:lblOffset val="100"/>
        <c:noMultiLvlLbl val="0"/>
      </c:catAx>
      <c:spPr>
        <a:solidFill>
          <a:srgbClr val="FBFBFB"/>
        </a:solidFill>
      </c:spPr>
    </c:plotArea>
    <c:plotVisOnly val="1"/>
    <c:dispBlanksAs val="gap"/>
    <c:showDLblsOverMax val="0"/>
  </c:chart>
  <c:txPr>
    <a:bodyPr/>
    <a:lstStyle/>
    <a:p>
      <a:pPr>
        <a:defRPr>
          <a:solidFill>
            <a:schemeClr val="tx1">
              <a:lumMod val="85000"/>
              <a:lumOff val="15000"/>
            </a:schemeClr>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F32CD6-4CEE-4D0B-8D84-95BE331CACFE}"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en-AU"/>
        </a:p>
      </dgm:t>
    </dgm:pt>
    <dgm:pt modelId="{37899600-E9B3-4F28-82C3-16C615767735}">
      <dgm:prSet phldrT="[Text]" custT="1"/>
      <dgm:spPr/>
      <dgm:t>
        <a:bodyPr/>
        <a:lstStyle/>
        <a:p>
          <a:r>
            <a:rPr lang="en-AU" sz="1600"/>
            <a:t>Score</a:t>
          </a:r>
        </a:p>
      </dgm:t>
    </dgm:pt>
    <dgm:pt modelId="{7BEBB869-660F-4E9A-9337-59E39B7929EA}" type="parTrans" cxnId="{64177EFC-D7E9-4936-BF9C-F40A4175B28A}">
      <dgm:prSet/>
      <dgm:spPr/>
      <dgm:t>
        <a:bodyPr/>
        <a:lstStyle/>
        <a:p>
          <a:endParaRPr lang="en-AU" sz="2000"/>
        </a:p>
      </dgm:t>
    </dgm:pt>
    <dgm:pt modelId="{F52ED4B9-A0D4-408D-B7A3-A7CE79EEE866}" type="sibTrans" cxnId="{64177EFC-D7E9-4936-BF9C-F40A4175B28A}">
      <dgm:prSet/>
      <dgm:spPr/>
      <dgm:t>
        <a:bodyPr/>
        <a:lstStyle/>
        <a:p>
          <a:endParaRPr lang="en-AU" sz="2000"/>
        </a:p>
      </dgm:t>
    </dgm:pt>
    <dgm:pt modelId="{50A6765D-E20B-4E3D-8921-995BC07678E6}">
      <dgm:prSet phldrT="[Text]" custT="1"/>
      <dgm:spPr/>
      <dgm:t>
        <a:bodyPr/>
        <a:lstStyle/>
        <a:p>
          <a:r>
            <a:rPr lang="en-AU" sz="900" b="1" i="0"/>
            <a:t>Scoring Functions</a:t>
          </a:r>
        </a:p>
      </dgm:t>
    </dgm:pt>
    <dgm:pt modelId="{FA738F70-103B-41EA-BB3E-C0AF144F200C}" type="parTrans" cxnId="{620C0072-A5EB-452A-81AA-D6556C5AEC56}">
      <dgm:prSet/>
      <dgm:spPr/>
      <dgm:t>
        <a:bodyPr/>
        <a:lstStyle/>
        <a:p>
          <a:endParaRPr lang="en-AU" sz="2000"/>
        </a:p>
      </dgm:t>
    </dgm:pt>
    <dgm:pt modelId="{C890ED87-1DD6-402A-A13B-91AA7909D307}" type="sibTrans" cxnId="{620C0072-A5EB-452A-81AA-D6556C5AEC56}">
      <dgm:prSet/>
      <dgm:spPr/>
      <dgm:t>
        <a:bodyPr/>
        <a:lstStyle/>
        <a:p>
          <a:endParaRPr lang="en-AU" sz="2000"/>
        </a:p>
      </dgm:t>
    </dgm:pt>
    <dgm:pt modelId="{E9D90F20-3CF8-486C-AA53-EA00BDC3D42F}">
      <dgm:prSet phldrT="[Text]" custT="1"/>
      <dgm:spPr/>
      <dgm:t>
        <a:bodyPr/>
        <a:lstStyle/>
        <a:p>
          <a:r>
            <a:rPr lang="en-AU" sz="1600"/>
            <a:t>Weights</a:t>
          </a:r>
        </a:p>
      </dgm:t>
    </dgm:pt>
    <dgm:pt modelId="{55E30889-488C-4D7E-B68E-03039AC7BBEC}" type="parTrans" cxnId="{1D689FD6-6648-42AC-AC55-8D55A1509CEA}">
      <dgm:prSet/>
      <dgm:spPr/>
      <dgm:t>
        <a:bodyPr/>
        <a:lstStyle/>
        <a:p>
          <a:endParaRPr lang="en-AU" sz="2000"/>
        </a:p>
      </dgm:t>
    </dgm:pt>
    <dgm:pt modelId="{FCDE6CFD-FAF0-4264-B103-467DDAC2CCA4}" type="sibTrans" cxnId="{1D689FD6-6648-42AC-AC55-8D55A1509CEA}">
      <dgm:prSet/>
      <dgm:spPr/>
      <dgm:t>
        <a:bodyPr/>
        <a:lstStyle/>
        <a:p>
          <a:endParaRPr lang="en-AU" sz="2000"/>
        </a:p>
      </dgm:t>
    </dgm:pt>
    <dgm:pt modelId="{88F6B8F0-60F9-4B18-A42B-A1F135761D2F}">
      <dgm:prSet phldrT="[Text]" custT="1"/>
      <dgm:spPr/>
      <dgm:t>
        <a:bodyPr/>
        <a:lstStyle/>
        <a:p>
          <a:r>
            <a:rPr lang="en-AU" sz="900" b="1"/>
            <a:t>Expert Opinion Ratio Weights</a:t>
          </a:r>
        </a:p>
      </dgm:t>
    </dgm:pt>
    <dgm:pt modelId="{3351FA8A-6792-48C6-ABE9-775EFB43F095}" type="parTrans" cxnId="{ECD8EFA4-EF88-4203-A2E7-41528137296F}">
      <dgm:prSet/>
      <dgm:spPr/>
      <dgm:t>
        <a:bodyPr/>
        <a:lstStyle/>
        <a:p>
          <a:endParaRPr lang="en-AU" sz="2000"/>
        </a:p>
      </dgm:t>
    </dgm:pt>
    <dgm:pt modelId="{6B9C7D43-7D47-4B78-AF3E-C9792BF23A13}" type="sibTrans" cxnId="{ECD8EFA4-EF88-4203-A2E7-41528137296F}">
      <dgm:prSet/>
      <dgm:spPr/>
      <dgm:t>
        <a:bodyPr/>
        <a:lstStyle/>
        <a:p>
          <a:endParaRPr lang="en-AU" sz="2000"/>
        </a:p>
      </dgm:t>
    </dgm:pt>
    <dgm:pt modelId="{DF3A4324-B81A-4681-8472-3B1561CE6FE6}">
      <dgm:prSet phldrT="[Text]" custT="1"/>
      <dgm:spPr/>
      <dgm:t>
        <a:bodyPr/>
        <a:lstStyle/>
        <a:p>
          <a:r>
            <a:rPr lang="en-AU" sz="900" b="1"/>
            <a:t>FHI Outputs</a:t>
          </a:r>
        </a:p>
      </dgm:t>
    </dgm:pt>
    <dgm:pt modelId="{A44D5B65-7BBF-4778-99D5-5E56F4B13B51}" type="parTrans" cxnId="{0FEB14C9-470F-48BD-9B3A-CAFA8539289E}">
      <dgm:prSet/>
      <dgm:spPr/>
      <dgm:t>
        <a:bodyPr/>
        <a:lstStyle/>
        <a:p>
          <a:endParaRPr lang="en-AU" sz="2000"/>
        </a:p>
      </dgm:t>
    </dgm:pt>
    <dgm:pt modelId="{841037B3-161F-46E3-8A0C-2749FC150050}" type="sibTrans" cxnId="{0FEB14C9-470F-48BD-9B3A-CAFA8539289E}">
      <dgm:prSet/>
      <dgm:spPr/>
      <dgm:t>
        <a:bodyPr/>
        <a:lstStyle/>
        <a:p>
          <a:endParaRPr lang="en-AU" sz="2000"/>
        </a:p>
      </dgm:t>
    </dgm:pt>
    <dgm:pt modelId="{BC0DA934-27F1-4B34-848C-E598B7EADD72}">
      <dgm:prSet phldrT="[Text]" custT="1"/>
      <dgm:spPr/>
      <dgm:t>
        <a:bodyPr/>
        <a:lstStyle/>
        <a:p>
          <a:r>
            <a:rPr lang="en-AU" sz="1600"/>
            <a:t>FHI</a:t>
          </a:r>
        </a:p>
        <a:p>
          <a:r>
            <a:rPr lang="en-AU" sz="1600"/>
            <a:t>Output</a:t>
          </a:r>
        </a:p>
      </dgm:t>
    </dgm:pt>
    <dgm:pt modelId="{87CADB16-D8E4-4D03-84D7-9D25B23B5FDA}" type="sibTrans" cxnId="{545DC02A-192D-439A-9CDD-08D669145FFE}">
      <dgm:prSet/>
      <dgm:spPr/>
      <dgm:t>
        <a:bodyPr/>
        <a:lstStyle/>
        <a:p>
          <a:endParaRPr lang="en-AU" sz="2000"/>
        </a:p>
      </dgm:t>
    </dgm:pt>
    <dgm:pt modelId="{D65E1CBE-71EC-482E-827D-C80B35B75594}" type="parTrans" cxnId="{545DC02A-192D-439A-9CDD-08D669145FFE}">
      <dgm:prSet/>
      <dgm:spPr/>
      <dgm:t>
        <a:bodyPr/>
        <a:lstStyle/>
        <a:p>
          <a:endParaRPr lang="en-AU" sz="2000"/>
        </a:p>
      </dgm:t>
    </dgm:pt>
    <dgm:pt modelId="{F2B21D19-BC5B-47C9-BEBA-39D9348BC779}">
      <dgm:prSet phldrT="[Text]" custT="1"/>
      <dgm:spPr/>
      <dgm:t>
        <a:bodyPr/>
        <a:lstStyle/>
        <a:p>
          <a:r>
            <a:rPr lang="en-AU" sz="900" b="0" i="0"/>
            <a:t> Transform  the financial ratios for a given year into a numerical score between 0 and 10 using the relevant scoring functions. </a:t>
          </a:r>
        </a:p>
      </dgm:t>
    </dgm:pt>
    <dgm:pt modelId="{548E4DAB-97C1-486C-9FCB-895D0D07FAFB}" type="parTrans" cxnId="{584665B7-FA06-41A2-8F84-DFA754398B1F}">
      <dgm:prSet/>
      <dgm:spPr/>
      <dgm:t>
        <a:bodyPr/>
        <a:lstStyle/>
        <a:p>
          <a:endParaRPr lang="en-AU"/>
        </a:p>
      </dgm:t>
    </dgm:pt>
    <dgm:pt modelId="{CBC87F5B-7308-4B69-80EF-E50017763196}" type="sibTrans" cxnId="{584665B7-FA06-41A2-8F84-DFA754398B1F}">
      <dgm:prSet/>
      <dgm:spPr/>
      <dgm:t>
        <a:bodyPr/>
        <a:lstStyle/>
        <a:p>
          <a:endParaRPr lang="en-AU"/>
        </a:p>
      </dgm:t>
    </dgm:pt>
    <dgm:pt modelId="{E9DA74ED-5D78-4210-A5BE-D8CF58A81DE8}">
      <dgm:prSet phldrT="[Text]" custT="1"/>
      <dgm:spPr/>
      <dgm:t>
        <a:bodyPr/>
        <a:lstStyle/>
        <a:p>
          <a:r>
            <a:rPr lang="en-AU" sz="900" b="0"/>
            <a:t>Multiply weights derived from expert opinion together with standardised ratio scores to generate the Financial Health Indicator for LG's.</a:t>
          </a:r>
        </a:p>
      </dgm:t>
    </dgm:pt>
    <dgm:pt modelId="{4EF88A0B-B751-438E-B467-AE71EEDCA937}" type="parTrans" cxnId="{E7CA4E22-DC1F-4F4E-B513-8E3D01693711}">
      <dgm:prSet/>
      <dgm:spPr/>
      <dgm:t>
        <a:bodyPr/>
        <a:lstStyle/>
        <a:p>
          <a:endParaRPr lang="en-AU"/>
        </a:p>
      </dgm:t>
    </dgm:pt>
    <dgm:pt modelId="{455E3EE3-BA1E-4650-B63B-A3A241371A83}" type="sibTrans" cxnId="{E7CA4E22-DC1F-4F4E-B513-8E3D01693711}">
      <dgm:prSet/>
      <dgm:spPr/>
      <dgm:t>
        <a:bodyPr/>
        <a:lstStyle/>
        <a:p>
          <a:endParaRPr lang="en-AU"/>
        </a:p>
      </dgm:t>
    </dgm:pt>
    <dgm:pt modelId="{2F4B9D2C-236D-4CC8-AB1B-CB6A9E855E16}">
      <dgm:prSet phldrT="[Text]" custT="1"/>
      <dgm:spPr/>
      <dgm:t>
        <a:bodyPr/>
        <a:lstStyle/>
        <a:p>
          <a:endParaRPr lang="en-AU" sz="900" b="1"/>
        </a:p>
      </dgm:t>
    </dgm:pt>
    <dgm:pt modelId="{138791A0-AEE3-4D28-AD9A-E97154CB8CF4}" type="parTrans" cxnId="{A1A977C0-4198-48EE-8D6F-0412836322D0}">
      <dgm:prSet/>
      <dgm:spPr/>
      <dgm:t>
        <a:bodyPr/>
        <a:lstStyle/>
        <a:p>
          <a:endParaRPr lang="en-AU"/>
        </a:p>
      </dgm:t>
    </dgm:pt>
    <dgm:pt modelId="{E0AE659D-E575-4F46-9FC0-5E5164F9D6F1}" type="sibTrans" cxnId="{A1A977C0-4198-48EE-8D6F-0412836322D0}">
      <dgm:prSet/>
      <dgm:spPr/>
      <dgm:t>
        <a:bodyPr/>
        <a:lstStyle/>
        <a:p>
          <a:endParaRPr lang="en-AU"/>
        </a:p>
      </dgm:t>
    </dgm:pt>
    <dgm:pt modelId="{7D0811EA-DDCC-40C5-9EBC-95092E2B0624}">
      <dgm:prSet phldrT="[Text]" custT="1"/>
      <dgm:spPr/>
      <dgm:t>
        <a:bodyPr/>
        <a:lstStyle/>
        <a:p>
          <a:r>
            <a:rPr lang="en-AU" sz="900" b="0"/>
            <a:t>Apply a scale factor of 10 to provide a final projected score between 0 and 100. </a:t>
          </a:r>
        </a:p>
      </dgm:t>
    </dgm:pt>
    <dgm:pt modelId="{3B211CF0-2B26-45C9-BEAA-B260FA041A84}" type="parTrans" cxnId="{02BD1C74-0D62-43DD-81A2-4CF38B177640}">
      <dgm:prSet/>
      <dgm:spPr/>
      <dgm:t>
        <a:bodyPr/>
        <a:lstStyle/>
        <a:p>
          <a:endParaRPr lang="en-AU"/>
        </a:p>
      </dgm:t>
    </dgm:pt>
    <dgm:pt modelId="{2C92027A-2F73-4C6D-8B2E-63093BF0E128}" type="sibTrans" cxnId="{02BD1C74-0D62-43DD-81A2-4CF38B177640}">
      <dgm:prSet/>
      <dgm:spPr/>
      <dgm:t>
        <a:bodyPr/>
        <a:lstStyle/>
        <a:p>
          <a:endParaRPr lang="en-AU"/>
        </a:p>
      </dgm:t>
    </dgm:pt>
    <dgm:pt modelId="{BEA17F1E-2B0B-438A-AA75-6ACED64CDBC5}">
      <dgm:prSet phldrT="[Text]" custT="1"/>
      <dgm:spPr/>
      <dgm:t>
        <a:bodyPr/>
        <a:lstStyle/>
        <a:p>
          <a:endParaRPr lang="en-AU" sz="900" b="1"/>
        </a:p>
      </dgm:t>
    </dgm:pt>
    <dgm:pt modelId="{7EE64114-5579-464D-A731-1C2594EA56EE}" type="parTrans" cxnId="{4510580F-C9FB-4702-BFD7-A2AE2FC9A204}">
      <dgm:prSet/>
      <dgm:spPr/>
      <dgm:t>
        <a:bodyPr/>
        <a:lstStyle/>
        <a:p>
          <a:endParaRPr lang="en-AU"/>
        </a:p>
      </dgm:t>
    </dgm:pt>
    <dgm:pt modelId="{1218B9A5-7B81-42AB-8C63-DD9A7C0E2EFC}" type="sibTrans" cxnId="{4510580F-C9FB-4702-BFD7-A2AE2FC9A204}">
      <dgm:prSet/>
      <dgm:spPr/>
      <dgm:t>
        <a:bodyPr/>
        <a:lstStyle/>
        <a:p>
          <a:endParaRPr lang="en-AU"/>
        </a:p>
      </dgm:t>
    </dgm:pt>
    <dgm:pt modelId="{F7C97CC3-0BC1-4AF0-B1D9-A80F7F747F5A}">
      <dgm:prSet phldrT="[Text]" custT="1"/>
      <dgm:spPr/>
      <dgm:t>
        <a:bodyPr/>
        <a:lstStyle/>
        <a:p>
          <a:r>
            <a:rPr lang="en-AU" sz="900"/>
            <a:t>Display radar charts of ratio scores.</a:t>
          </a:r>
          <a:endParaRPr lang="en-AU" sz="900" b="1"/>
        </a:p>
      </dgm:t>
    </dgm:pt>
    <dgm:pt modelId="{AD6C7D9D-E101-44DF-885D-98BC343A1A75}" type="parTrans" cxnId="{BFF22070-3815-464C-8E79-CA0E7741C229}">
      <dgm:prSet/>
      <dgm:spPr/>
      <dgm:t>
        <a:bodyPr/>
        <a:lstStyle/>
        <a:p>
          <a:endParaRPr lang="en-AU"/>
        </a:p>
      </dgm:t>
    </dgm:pt>
    <dgm:pt modelId="{664AF3B4-6935-4904-ACB5-AE6C6995BB96}" type="sibTrans" cxnId="{BFF22070-3815-464C-8E79-CA0E7741C229}">
      <dgm:prSet/>
      <dgm:spPr/>
      <dgm:t>
        <a:bodyPr/>
        <a:lstStyle/>
        <a:p>
          <a:endParaRPr lang="en-AU"/>
        </a:p>
      </dgm:t>
    </dgm:pt>
    <dgm:pt modelId="{517FDFBD-7011-4160-96FF-E2F1221D06D1}">
      <dgm:prSet phldrT="[Text]" custT="1"/>
      <dgm:spPr/>
      <dgm:t>
        <a:bodyPr/>
        <a:lstStyle/>
        <a:p>
          <a:r>
            <a:rPr lang="en-AU" sz="900"/>
            <a:t>Display box plots of distribution of AFHC values.</a:t>
          </a:r>
        </a:p>
      </dgm:t>
    </dgm:pt>
    <dgm:pt modelId="{9AE279A2-C40F-4CBB-A89E-B987F4DEF1BB}" type="parTrans" cxnId="{87D0B6D2-D674-4726-8672-F3E35FE58520}">
      <dgm:prSet/>
      <dgm:spPr/>
      <dgm:t>
        <a:bodyPr/>
        <a:lstStyle/>
        <a:p>
          <a:endParaRPr lang="en-AU"/>
        </a:p>
      </dgm:t>
    </dgm:pt>
    <dgm:pt modelId="{1B66A349-CD27-4129-AD4B-727BA35C1776}" type="sibTrans" cxnId="{87D0B6D2-D674-4726-8672-F3E35FE58520}">
      <dgm:prSet/>
      <dgm:spPr/>
      <dgm:t>
        <a:bodyPr/>
        <a:lstStyle/>
        <a:p>
          <a:endParaRPr lang="en-AU"/>
        </a:p>
      </dgm:t>
    </dgm:pt>
    <dgm:pt modelId="{DBCD18B5-E188-48AA-8908-014B936D86D2}">
      <dgm:prSet phldrT="[Text]" custT="1"/>
      <dgm:spPr/>
      <dgm:t>
        <a:bodyPr/>
        <a:lstStyle/>
        <a:p>
          <a:r>
            <a:rPr lang="en-AU" sz="900" b="0"/>
            <a:t> Select a primary LG and a corresponding financial year</a:t>
          </a:r>
        </a:p>
      </dgm:t>
    </dgm:pt>
    <dgm:pt modelId="{AF002781-5597-44FE-81C2-BFD9464E929B}" type="parTrans" cxnId="{C011DF43-04F4-458A-BDC4-69E6EDD99F8F}">
      <dgm:prSet/>
      <dgm:spPr/>
      <dgm:t>
        <a:bodyPr/>
        <a:lstStyle/>
        <a:p>
          <a:endParaRPr lang="en-AU"/>
        </a:p>
      </dgm:t>
    </dgm:pt>
    <dgm:pt modelId="{2426E781-3002-4C7B-AFC9-40088DF26665}" type="sibTrans" cxnId="{C011DF43-04F4-458A-BDC4-69E6EDD99F8F}">
      <dgm:prSet/>
      <dgm:spPr/>
      <dgm:t>
        <a:bodyPr/>
        <a:lstStyle/>
        <a:p>
          <a:endParaRPr lang="en-AU"/>
        </a:p>
      </dgm:t>
    </dgm:pt>
    <dgm:pt modelId="{5E5FADA4-D944-4825-9FCB-6B5046705B5A}">
      <dgm:prSet phldrT="[Text]" custT="1"/>
      <dgm:spPr/>
      <dgm:t>
        <a:bodyPr/>
        <a:lstStyle/>
        <a:p>
          <a:r>
            <a:rPr lang="en-AU" sz="900" b="0"/>
            <a:t>Select a secondary LG and a  corresponding financial year</a:t>
          </a:r>
        </a:p>
      </dgm:t>
    </dgm:pt>
    <dgm:pt modelId="{24FB0CA5-FF37-46CF-9FC4-87A1F4E11381}" type="parTrans" cxnId="{961FF360-F7FB-4B6C-BC33-2E4432715BDD}">
      <dgm:prSet/>
      <dgm:spPr/>
      <dgm:t>
        <a:bodyPr/>
        <a:lstStyle/>
        <a:p>
          <a:endParaRPr lang="en-AU"/>
        </a:p>
      </dgm:t>
    </dgm:pt>
    <dgm:pt modelId="{C478A92B-9CC5-4DA5-9746-A0C85FEFA7CB}" type="sibTrans" cxnId="{961FF360-F7FB-4B6C-BC33-2E4432715BDD}">
      <dgm:prSet/>
      <dgm:spPr/>
      <dgm:t>
        <a:bodyPr/>
        <a:lstStyle/>
        <a:p>
          <a:endParaRPr lang="en-AU"/>
        </a:p>
      </dgm:t>
    </dgm:pt>
    <dgm:pt modelId="{DF1B8607-4692-415C-B699-A1A5FAC09E51}" type="pres">
      <dgm:prSet presAssocID="{31F32CD6-4CEE-4D0B-8D84-95BE331CACFE}" presName="linearFlow" presStyleCnt="0">
        <dgm:presLayoutVars>
          <dgm:dir/>
          <dgm:animLvl val="lvl"/>
          <dgm:resizeHandles val="exact"/>
        </dgm:presLayoutVars>
      </dgm:prSet>
      <dgm:spPr/>
      <dgm:t>
        <a:bodyPr/>
        <a:lstStyle/>
        <a:p>
          <a:endParaRPr lang="en-AU"/>
        </a:p>
      </dgm:t>
    </dgm:pt>
    <dgm:pt modelId="{22CF7991-66A8-42D4-8CEA-4D929D9E537F}" type="pres">
      <dgm:prSet presAssocID="{37899600-E9B3-4F28-82C3-16C615767735}" presName="composite" presStyleCnt="0"/>
      <dgm:spPr/>
    </dgm:pt>
    <dgm:pt modelId="{7C7B2488-103C-4E2F-9DF8-06BFC0FCEB94}" type="pres">
      <dgm:prSet presAssocID="{37899600-E9B3-4F28-82C3-16C615767735}" presName="parentText" presStyleLbl="alignNode1" presStyleIdx="0" presStyleCnt="3">
        <dgm:presLayoutVars>
          <dgm:chMax val="1"/>
          <dgm:bulletEnabled val="1"/>
        </dgm:presLayoutVars>
      </dgm:prSet>
      <dgm:spPr/>
      <dgm:t>
        <a:bodyPr/>
        <a:lstStyle/>
        <a:p>
          <a:endParaRPr lang="en-AU"/>
        </a:p>
      </dgm:t>
    </dgm:pt>
    <dgm:pt modelId="{2F729C9E-675A-4990-AAE4-005FBA2408B5}" type="pres">
      <dgm:prSet presAssocID="{37899600-E9B3-4F28-82C3-16C615767735}" presName="descendantText" presStyleLbl="alignAcc1" presStyleIdx="0" presStyleCnt="3" custScaleY="135742">
        <dgm:presLayoutVars>
          <dgm:bulletEnabled val="1"/>
        </dgm:presLayoutVars>
      </dgm:prSet>
      <dgm:spPr/>
      <dgm:t>
        <a:bodyPr/>
        <a:lstStyle/>
        <a:p>
          <a:endParaRPr lang="en-AU"/>
        </a:p>
      </dgm:t>
    </dgm:pt>
    <dgm:pt modelId="{05DA5CCE-63D7-418A-ADF4-229E4C75A96C}" type="pres">
      <dgm:prSet presAssocID="{F52ED4B9-A0D4-408D-B7A3-A7CE79EEE866}" presName="sp" presStyleCnt="0"/>
      <dgm:spPr/>
    </dgm:pt>
    <dgm:pt modelId="{3537CB71-5F26-46D8-A68B-F2C546B1DED9}" type="pres">
      <dgm:prSet presAssocID="{E9D90F20-3CF8-486C-AA53-EA00BDC3D42F}" presName="composite" presStyleCnt="0"/>
      <dgm:spPr/>
    </dgm:pt>
    <dgm:pt modelId="{ADCAF040-D09D-47A1-9B53-1945E79417D0}" type="pres">
      <dgm:prSet presAssocID="{E9D90F20-3CF8-486C-AA53-EA00BDC3D42F}" presName="parentText" presStyleLbl="alignNode1" presStyleIdx="1" presStyleCnt="3">
        <dgm:presLayoutVars>
          <dgm:chMax val="1"/>
          <dgm:bulletEnabled val="1"/>
        </dgm:presLayoutVars>
      </dgm:prSet>
      <dgm:spPr/>
      <dgm:t>
        <a:bodyPr/>
        <a:lstStyle/>
        <a:p>
          <a:endParaRPr lang="en-AU"/>
        </a:p>
      </dgm:t>
    </dgm:pt>
    <dgm:pt modelId="{5C0C1872-663C-43C7-A6C9-8ABAF15BE879}" type="pres">
      <dgm:prSet presAssocID="{E9D90F20-3CF8-486C-AA53-EA00BDC3D42F}" presName="descendantText" presStyleLbl="alignAcc1" presStyleIdx="1" presStyleCnt="3">
        <dgm:presLayoutVars>
          <dgm:bulletEnabled val="1"/>
        </dgm:presLayoutVars>
      </dgm:prSet>
      <dgm:spPr/>
      <dgm:t>
        <a:bodyPr/>
        <a:lstStyle/>
        <a:p>
          <a:endParaRPr lang="en-AU"/>
        </a:p>
      </dgm:t>
    </dgm:pt>
    <dgm:pt modelId="{953C86AC-760A-4EF7-8E7F-C771764A2679}" type="pres">
      <dgm:prSet presAssocID="{FCDE6CFD-FAF0-4264-B103-467DDAC2CCA4}" presName="sp" presStyleCnt="0"/>
      <dgm:spPr/>
    </dgm:pt>
    <dgm:pt modelId="{0FA4E21D-E07F-4576-9014-5AE74591680D}" type="pres">
      <dgm:prSet presAssocID="{BC0DA934-27F1-4B34-848C-E598B7EADD72}" presName="composite" presStyleCnt="0"/>
      <dgm:spPr/>
    </dgm:pt>
    <dgm:pt modelId="{6BB4FA0D-8147-44E5-9CF0-0D3C1511C1DE}" type="pres">
      <dgm:prSet presAssocID="{BC0DA934-27F1-4B34-848C-E598B7EADD72}" presName="parentText" presStyleLbl="alignNode1" presStyleIdx="2" presStyleCnt="3">
        <dgm:presLayoutVars>
          <dgm:chMax val="1"/>
          <dgm:bulletEnabled val="1"/>
        </dgm:presLayoutVars>
      </dgm:prSet>
      <dgm:spPr/>
      <dgm:t>
        <a:bodyPr/>
        <a:lstStyle/>
        <a:p>
          <a:endParaRPr lang="en-AU"/>
        </a:p>
      </dgm:t>
    </dgm:pt>
    <dgm:pt modelId="{9C54C782-6CB2-4AFF-B23F-37325B1BD206}" type="pres">
      <dgm:prSet presAssocID="{BC0DA934-27F1-4B34-848C-E598B7EADD72}" presName="descendantText" presStyleLbl="alignAcc1" presStyleIdx="2" presStyleCnt="3">
        <dgm:presLayoutVars>
          <dgm:bulletEnabled val="1"/>
        </dgm:presLayoutVars>
      </dgm:prSet>
      <dgm:spPr/>
      <dgm:t>
        <a:bodyPr/>
        <a:lstStyle/>
        <a:p>
          <a:endParaRPr lang="en-AU"/>
        </a:p>
      </dgm:t>
    </dgm:pt>
  </dgm:ptLst>
  <dgm:cxnLst>
    <dgm:cxn modelId="{D24029D4-15E2-403F-86C4-DB3502541D05}" type="presOf" srcId="{31F32CD6-4CEE-4D0B-8D84-95BE331CACFE}" destId="{DF1B8607-4692-415C-B699-A1A5FAC09E51}" srcOrd="0" destOrd="0" presId="urn:microsoft.com/office/officeart/2005/8/layout/chevron2"/>
    <dgm:cxn modelId="{0FEB14C9-470F-48BD-9B3A-CAFA8539289E}" srcId="{BC0DA934-27F1-4B34-848C-E598B7EADD72}" destId="{DF3A4324-B81A-4681-8472-3B1561CE6FE6}" srcOrd="0" destOrd="0" parTransId="{A44D5B65-7BBF-4778-99D5-5E56F4B13B51}" sibTransId="{841037B3-161F-46E3-8A0C-2749FC150050}"/>
    <dgm:cxn modelId="{620C0072-A5EB-452A-81AA-D6556C5AEC56}" srcId="{37899600-E9B3-4F28-82C3-16C615767735}" destId="{50A6765D-E20B-4E3D-8921-995BC07678E6}" srcOrd="0" destOrd="0" parTransId="{FA738F70-103B-41EA-BB3E-C0AF144F200C}" sibTransId="{C890ED87-1DD6-402A-A13B-91AA7909D307}"/>
    <dgm:cxn modelId="{127ECF7E-6A5F-43D1-AC14-7C50A66329EE}" type="presOf" srcId="{F2B21D19-BC5B-47C9-BEBA-39D9348BC779}" destId="{2F729C9E-675A-4990-AAE4-005FBA2408B5}" srcOrd="0" destOrd="1" presId="urn:microsoft.com/office/officeart/2005/8/layout/chevron2"/>
    <dgm:cxn modelId="{BFF22070-3815-464C-8E79-CA0E7741C229}" srcId="{BC0DA934-27F1-4B34-848C-E598B7EADD72}" destId="{F7C97CC3-0BC1-4AF0-B1D9-A80F7F747F5A}" srcOrd="3" destOrd="0" parTransId="{AD6C7D9D-E101-44DF-885D-98BC343A1A75}" sibTransId="{664AF3B4-6935-4904-ACB5-AE6C6995BB96}"/>
    <dgm:cxn modelId="{02BD1C74-0D62-43DD-81A2-4CF38B177640}" srcId="{E9D90F20-3CF8-486C-AA53-EA00BDC3D42F}" destId="{7D0811EA-DDCC-40C5-9EBC-95092E2B0624}" srcOrd="2" destOrd="0" parTransId="{3B211CF0-2B26-45C9-BEAA-B260FA041A84}" sibTransId="{2C92027A-2F73-4C6D-8B2E-63093BF0E128}"/>
    <dgm:cxn modelId="{8930A560-3669-459C-ACC5-38747D8A1527}" type="presOf" srcId="{88F6B8F0-60F9-4B18-A42B-A1F135761D2F}" destId="{5C0C1872-663C-43C7-A6C9-8ABAF15BE879}" srcOrd="0" destOrd="0" presId="urn:microsoft.com/office/officeart/2005/8/layout/chevron2"/>
    <dgm:cxn modelId="{87D0B6D2-D674-4726-8672-F3E35FE58520}" srcId="{BC0DA934-27F1-4B34-848C-E598B7EADD72}" destId="{517FDFBD-7011-4160-96FF-E2F1221D06D1}" srcOrd="4" destOrd="0" parTransId="{9AE279A2-C40F-4CBB-A89E-B987F4DEF1BB}" sibTransId="{1B66A349-CD27-4129-AD4B-727BA35C1776}"/>
    <dgm:cxn modelId="{ADD9DD8A-CF99-4979-8772-9508E04B8CFF}" type="presOf" srcId="{50A6765D-E20B-4E3D-8921-995BC07678E6}" destId="{2F729C9E-675A-4990-AAE4-005FBA2408B5}" srcOrd="0" destOrd="0" presId="urn:microsoft.com/office/officeart/2005/8/layout/chevron2"/>
    <dgm:cxn modelId="{B7856003-F4EB-4091-8E3C-FFD31AB6FC38}" type="presOf" srcId="{DBCD18B5-E188-48AA-8908-014B936D86D2}" destId="{9C54C782-6CB2-4AFF-B23F-37325B1BD206}" srcOrd="0" destOrd="1" presId="urn:microsoft.com/office/officeart/2005/8/layout/chevron2"/>
    <dgm:cxn modelId="{063F24D1-5C3B-44D5-9EE5-3A7F27ECF4A7}" type="presOf" srcId="{E9DA74ED-5D78-4210-A5BE-D8CF58A81DE8}" destId="{5C0C1872-663C-43C7-A6C9-8ABAF15BE879}" srcOrd="0" destOrd="1" presId="urn:microsoft.com/office/officeart/2005/8/layout/chevron2"/>
    <dgm:cxn modelId="{88D9F8CB-B1D8-40EA-9CA4-14D0B980826F}" type="presOf" srcId="{5E5FADA4-D944-4825-9FCB-6B5046705B5A}" destId="{9C54C782-6CB2-4AFF-B23F-37325B1BD206}" srcOrd="0" destOrd="2" presId="urn:microsoft.com/office/officeart/2005/8/layout/chevron2"/>
    <dgm:cxn modelId="{961FF360-F7FB-4B6C-BC33-2E4432715BDD}" srcId="{BC0DA934-27F1-4B34-848C-E598B7EADD72}" destId="{5E5FADA4-D944-4825-9FCB-6B5046705B5A}" srcOrd="2" destOrd="0" parTransId="{24FB0CA5-FF37-46CF-9FC4-87A1F4E11381}" sibTransId="{C478A92B-9CC5-4DA5-9746-A0C85FEFA7CB}"/>
    <dgm:cxn modelId="{1D689FD6-6648-42AC-AC55-8D55A1509CEA}" srcId="{31F32CD6-4CEE-4D0B-8D84-95BE331CACFE}" destId="{E9D90F20-3CF8-486C-AA53-EA00BDC3D42F}" srcOrd="1" destOrd="0" parTransId="{55E30889-488C-4D7E-B68E-03039AC7BBEC}" sibTransId="{FCDE6CFD-FAF0-4264-B103-467DDAC2CCA4}"/>
    <dgm:cxn modelId="{545DC02A-192D-439A-9CDD-08D669145FFE}" srcId="{31F32CD6-4CEE-4D0B-8D84-95BE331CACFE}" destId="{BC0DA934-27F1-4B34-848C-E598B7EADD72}" srcOrd="2" destOrd="0" parTransId="{D65E1CBE-71EC-482E-827D-C80B35B75594}" sibTransId="{87CADB16-D8E4-4D03-84D7-9D25B23B5FDA}"/>
    <dgm:cxn modelId="{A1A977C0-4198-48EE-8D6F-0412836322D0}" srcId="{E9D90F20-3CF8-486C-AA53-EA00BDC3D42F}" destId="{2F4B9D2C-236D-4CC8-AB1B-CB6A9E855E16}" srcOrd="3" destOrd="0" parTransId="{138791A0-AEE3-4D28-AD9A-E97154CB8CF4}" sibTransId="{E0AE659D-E575-4F46-9FC0-5E5164F9D6F1}"/>
    <dgm:cxn modelId="{BE1854F1-1EC7-4045-86B9-833495C78EB4}" type="presOf" srcId="{2F4B9D2C-236D-4CC8-AB1B-CB6A9E855E16}" destId="{5C0C1872-663C-43C7-A6C9-8ABAF15BE879}" srcOrd="0" destOrd="3" presId="urn:microsoft.com/office/officeart/2005/8/layout/chevron2"/>
    <dgm:cxn modelId="{64177EFC-D7E9-4936-BF9C-F40A4175B28A}" srcId="{31F32CD6-4CEE-4D0B-8D84-95BE331CACFE}" destId="{37899600-E9B3-4F28-82C3-16C615767735}" srcOrd="0" destOrd="0" parTransId="{7BEBB869-660F-4E9A-9337-59E39B7929EA}" sibTransId="{F52ED4B9-A0D4-408D-B7A3-A7CE79EEE866}"/>
    <dgm:cxn modelId="{60B9ED35-1352-4E73-9F8D-EA74B46F720B}" type="presOf" srcId="{E9D90F20-3CF8-486C-AA53-EA00BDC3D42F}" destId="{ADCAF040-D09D-47A1-9B53-1945E79417D0}" srcOrd="0" destOrd="0" presId="urn:microsoft.com/office/officeart/2005/8/layout/chevron2"/>
    <dgm:cxn modelId="{817A105D-2228-4E80-B44F-83419E1BA60C}" type="presOf" srcId="{7D0811EA-DDCC-40C5-9EBC-95092E2B0624}" destId="{5C0C1872-663C-43C7-A6C9-8ABAF15BE879}" srcOrd="0" destOrd="2" presId="urn:microsoft.com/office/officeart/2005/8/layout/chevron2"/>
    <dgm:cxn modelId="{D18DD2BE-75AF-4FDD-8BA2-6460E0E83AE7}" type="presOf" srcId="{F7C97CC3-0BC1-4AF0-B1D9-A80F7F747F5A}" destId="{9C54C782-6CB2-4AFF-B23F-37325B1BD206}" srcOrd="0" destOrd="3" presId="urn:microsoft.com/office/officeart/2005/8/layout/chevron2"/>
    <dgm:cxn modelId="{4510580F-C9FB-4702-BFD7-A2AE2FC9A204}" srcId="{BC0DA934-27F1-4B34-848C-E598B7EADD72}" destId="{BEA17F1E-2B0B-438A-AA75-6ACED64CDBC5}" srcOrd="5" destOrd="0" parTransId="{7EE64114-5579-464D-A731-1C2594EA56EE}" sibTransId="{1218B9A5-7B81-42AB-8C63-DD9A7C0E2EFC}"/>
    <dgm:cxn modelId="{C011DF43-04F4-458A-BDC4-69E6EDD99F8F}" srcId="{BC0DA934-27F1-4B34-848C-E598B7EADD72}" destId="{DBCD18B5-E188-48AA-8908-014B936D86D2}" srcOrd="1" destOrd="0" parTransId="{AF002781-5597-44FE-81C2-BFD9464E929B}" sibTransId="{2426E781-3002-4C7B-AFC9-40088DF26665}"/>
    <dgm:cxn modelId="{7B26C8A9-DDE6-403C-9300-0CA19A150706}" type="presOf" srcId="{37899600-E9B3-4F28-82C3-16C615767735}" destId="{7C7B2488-103C-4E2F-9DF8-06BFC0FCEB94}" srcOrd="0" destOrd="0" presId="urn:microsoft.com/office/officeart/2005/8/layout/chevron2"/>
    <dgm:cxn modelId="{584665B7-FA06-41A2-8F84-DFA754398B1F}" srcId="{37899600-E9B3-4F28-82C3-16C615767735}" destId="{F2B21D19-BC5B-47C9-BEBA-39D9348BC779}" srcOrd="1" destOrd="0" parTransId="{548E4DAB-97C1-486C-9FCB-895D0D07FAFB}" sibTransId="{CBC87F5B-7308-4B69-80EF-E50017763196}"/>
    <dgm:cxn modelId="{810E9BC6-8131-4363-91F1-2A025E73519D}" type="presOf" srcId="{BEA17F1E-2B0B-438A-AA75-6ACED64CDBC5}" destId="{9C54C782-6CB2-4AFF-B23F-37325B1BD206}" srcOrd="0" destOrd="5" presId="urn:microsoft.com/office/officeart/2005/8/layout/chevron2"/>
    <dgm:cxn modelId="{D329087B-20C2-48A2-A251-2FD3AD402A2C}" type="presOf" srcId="{517FDFBD-7011-4160-96FF-E2F1221D06D1}" destId="{9C54C782-6CB2-4AFF-B23F-37325B1BD206}" srcOrd="0" destOrd="4" presId="urn:microsoft.com/office/officeart/2005/8/layout/chevron2"/>
    <dgm:cxn modelId="{0AEAB09F-1B9A-4EBB-9527-C4DE4956860B}" type="presOf" srcId="{BC0DA934-27F1-4B34-848C-E598B7EADD72}" destId="{6BB4FA0D-8147-44E5-9CF0-0D3C1511C1DE}" srcOrd="0" destOrd="0" presId="urn:microsoft.com/office/officeart/2005/8/layout/chevron2"/>
    <dgm:cxn modelId="{BC3A6C23-01D7-44BC-9184-44FFECD1FAD5}" type="presOf" srcId="{DF3A4324-B81A-4681-8472-3B1561CE6FE6}" destId="{9C54C782-6CB2-4AFF-B23F-37325B1BD206}" srcOrd="0" destOrd="0" presId="urn:microsoft.com/office/officeart/2005/8/layout/chevron2"/>
    <dgm:cxn modelId="{E7CA4E22-DC1F-4F4E-B513-8E3D01693711}" srcId="{E9D90F20-3CF8-486C-AA53-EA00BDC3D42F}" destId="{E9DA74ED-5D78-4210-A5BE-D8CF58A81DE8}" srcOrd="1" destOrd="0" parTransId="{4EF88A0B-B751-438E-B467-AE71EEDCA937}" sibTransId="{455E3EE3-BA1E-4650-B63B-A3A241371A83}"/>
    <dgm:cxn modelId="{ECD8EFA4-EF88-4203-A2E7-41528137296F}" srcId="{E9D90F20-3CF8-486C-AA53-EA00BDC3D42F}" destId="{88F6B8F0-60F9-4B18-A42B-A1F135761D2F}" srcOrd="0" destOrd="0" parTransId="{3351FA8A-6792-48C6-ABE9-775EFB43F095}" sibTransId="{6B9C7D43-7D47-4B78-AF3E-C9792BF23A13}"/>
    <dgm:cxn modelId="{79826DFD-E587-4A41-8D39-10890FC9466F}" type="presParOf" srcId="{DF1B8607-4692-415C-B699-A1A5FAC09E51}" destId="{22CF7991-66A8-42D4-8CEA-4D929D9E537F}" srcOrd="0" destOrd="0" presId="urn:microsoft.com/office/officeart/2005/8/layout/chevron2"/>
    <dgm:cxn modelId="{75EDF95B-3B68-4760-9794-68C55A803A04}" type="presParOf" srcId="{22CF7991-66A8-42D4-8CEA-4D929D9E537F}" destId="{7C7B2488-103C-4E2F-9DF8-06BFC0FCEB94}" srcOrd="0" destOrd="0" presId="urn:microsoft.com/office/officeart/2005/8/layout/chevron2"/>
    <dgm:cxn modelId="{2E94B018-A81D-4F32-A134-AB2F8A6605F3}" type="presParOf" srcId="{22CF7991-66A8-42D4-8CEA-4D929D9E537F}" destId="{2F729C9E-675A-4990-AAE4-005FBA2408B5}" srcOrd="1" destOrd="0" presId="urn:microsoft.com/office/officeart/2005/8/layout/chevron2"/>
    <dgm:cxn modelId="{83526386-D564-4884-AC0F-52935EFA01DA}" type="presParOf" srcId="{DF1B8607-4692-415C-B699-A1A5FAC09E51}" destId="{05DA5CCE-63D7-418A-ADF4-229E4C75A96C}" srcOrd="1" destOrd="0" presId="urn:microsoft.com/office/officeart/2005/8/layout/chevron2"/>
    <dgm:cxn modelId="{98749A73-DC56-49F3-82AA-80CD43B96D04}" type="presParOf" srcId="{DF1B8607-4692-415C-B699-A1A5FAC09E51}" destId="{3537CB71-5F26-46D8-A68B-F2C546B1DED9}" srcOrd="2" destOrd="0" presId="urn:microsoft.com/office/officeart/2005/8/layout/chevron2"/>
    <dgm:cxn modelId="{3C07CF3F-9ED0-4D6A-8329-DA82463BB8D7}" type="presParOf" srcId="{3537CB71-5F26-46D8-A68B-F2C546B1DED9}" destId="{ADCAF040-D09D-47A1-9B53-1945E79417D0}" srcOrd="0" destOrd="0" presId="urn:microsoft.com/office/officeart/2005/8/layout/chevron2"/>
    <dgm:cxn modelId="{2FBC06DF-A786-4587-88DB-CF3C3DAC9596}" type="presParOf" srcId="{3537CB71-5F26-46D8-A68B-F2C546B1DED9}" destId="{5C0C1872-663C-43C7-A6C9-8ABAF15BE879}" srcOrd="1" destOrd="0" presId="urn:microsoft.com/office/officeart/2005/8/layout/chevron2"/>
    <dgm:cxn modelId="{A5321ACA-6868-4E80-8E12-85BFFEBD59D6}" type="presParOf" srcId="{DF1B8607-4692-415C-B699-A1A5FAC09E51}" destId="{953C86AC-760A-4EF7-8E7F-C771764A2679}" srcOrd="3" destOrd="0" presId="urn:microsoft.com/office/officeart/2005/8/layout/chevron2"/>
    <dgm:cxn modelId="{FBE20E50-62E4-4E18-9F0D-3587BF0D96A5}" type="presParOf" srcId="{DF1B8607-4692-415C-B699-A1A5FAC09E51}" destId="{0FA4E21D-E07F-4576-9014-5AE74591680D}" srcOrd="4" destOrd="0" presId="urn:microsoft.com/office/officeart/2005/8/layout/chevron2"/>
    <dgm:cxn modelId="{C540D9F2-80E1-47B2-BD0C-585F727F5BA0}" type="presParOf" srcId="{0FA4E21D-E07F-4576-9014-5AE74591680D}" destId="{6BB4FA0D-8147-44E5-9CF0-0D3C1511C1DE}" srcOrd="0" destOrd="0" presId="urn:microsoft.com/office/officeart/2005/8/layout/chevron2"/>
    <dgm:cxn modelId="{6C4F4641-AA1A-4AC1-A7A6-7CACD1FF880D}" type="presParOf" srcId="{0FA4E21D-E07F-4576-9014-5AE74591680D}" destId="{9C54C782-6CB2-4AFF-B23F-37325B1BD206}"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7B2488-103C-4E2F-9DF8-06BFC0FCEB94}">
      <dsp:nvSpPr>
        <dsp:cNvPr id="0" name=""/>
        <dsp:cNvSpPr/>
      </dsp:nvSpPr>
      <dsp:spPr>
        <a:xfrm rot="5400000">
          <a:off x="-198019" y="364345"/>
          <a:ext cx="1320126" cy="92408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Score</a:t>
          </a:r>
        </a:p>
      </dsp:txBody>
      <dsp:txXfrm rot="-5400000">
        <a:off x="0" y="628370"/>
        <a:ext cx="924088" cy="396038"/>
      </dsp:txXfrm>
    </dsp:sp>
    <dsp:sp modelId="{2F729C9E-675A-4990-AAE4-005FBA2408B5}">
      <dsp:nvSpPr>
        <dsp:cNvPr id="0" name=""/>
        <dsp:cNvSpPr/>
      </dsp:nvSpPr>
      <dsp:spPr>
        <a:xfrm rot="5400000">
          <a:off x="2293245" y="-1356178"/>
          <a:ext cx="1164778" cy="3903092"/>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b="1" i="0" kern="1200"/>
            <a:t>Scoring Functions</a:t>
          </a:r>
        </a:p>
        <a:p>
          <a:pPr marL="57150" lvl="1" indent="-57150" algn="l" defTabSz="400050">
            <a:lnSpc>
              <a:spcPct val="90000"/>
            </a:lnSpc>
            <a:spcBef>
              <a:spcPct val="0"/>
            </a:spcBef>
            <a:spcAft>
              <a:spcPct val="15000"/>
            </a:spcAft>
            <a:buChar char="••"/>
          </a:pPr>
          <a:r>
            <a:rPr lang="en-AU" sz="900" b="0" i="0" kern="1200"/>
            <a:t> Transform  the financial ratios for a given year into a numerical score between 0 and 10 using the relevant scoring functions. </a:t>
          </a:r>
        </a:p>
      </dsp:txBody>
      <dsp:txXfrm rot="-5400000">
        <a:off x="924088" y="69839"/>
        <a:ext cx="3846232" cy="1051058"/>
      </dsp:txXfrm>
    </dsp:sp>
    <dsp:sp modelId="{ADCAF040-D09D-47A1-9B53-1945E79417D0}">
      <dsp:nvSpPr>
        <dsp:cNvPr id="0" name=""/>
        <dsp:cNvSpPr/>
      </dsp:nvSpPr>
      <dsp:spPr>
        <a:xfrm rot="5400000">
          <a:off x="-198019" y="1496592"/>
          <a:ext cx="1320126" cy="924088"/>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Weights</a:t>
          </a:r>
        </a:p>
      </dsp:txBody>
      <dsp:txXfrm rot="-5400000">
        <a:off x="0" y="1760617"/>
        <a:ext cx="924088" cy="396038"/>
      </dsp:txXfrm>
    </dsp:sp>
    <dsp:sp modelId="{5C0C1872-663C-43C7-A6C9-8ABAF15BE879}">
      <dsp:nvSpPr>
        <dsp:cNvPr id="0" name=""/>
        <dsp:cNvSpPr/>
      </dsp:nvSpPr>
      <dsp:spPr>
        <a:xfrm rot="5400000">
          <a:off x="2446593" y="-223931"/>
          <a:ext cx="858082" cy="3903092"/>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b="1" kern="1200"/>
            <a:t>Expert Opinion Ratio Weights</a:t>
          </a:r>
        </a:p>
        <a:p>
          <a:pPr marL="57150" lvl="1" indent="-57150" algn="l" defTabSz="400050">
            <a:lnSpc>
              <a:spcPct val="90000"/>
            </a:lnSpc>
            <a:spcBef>
              <a:spcPct val="0"/>
            </a:spcBef>
            <a:spcAft>
              <a:spcPct val="15000"/>
            </a:spcAft>
            <a:buChar char="••"/>
          </a:pPr>
          <a:r>
            <a:rPr lang="en-AU" sz="900" b="0" kern="1200"/>
            <a:t>Multiply weights derived from expert opinion together with standardised ratio scores to generate the Financial Health Indicator for LG's.</a:t>
          </a:r>
        </a:p>
        <a:p>
          <a:pPr marL="57150" lvl="1" indent="-57150" algn="l" defTabSz="400050">
            <a:lnSpc>
              <a:spcPct val="90000"/>
            </a:lnSpc>
            <a:spcBef>
              <a:spcPct val="0"/>
            </a:spcBef>
            <a:spcAft>
              <a:spcPct val="15000"/>
            </a:spcAft>
            <a:buChar char="••"/>
          </a:pPr>
          <a:r>
            <a:rPr lang="en-AU" sz="900" b="0" kern="1200"/>
            <a:t>Apply a scale factor of 10 to provide a final projected score between 0 and 100. </a:t>
          </a:r>
        </a:p>
        <a:p>
          <a:pPr marL="57150" lvl="1" indent="-57150" algn="l" defTabSz="400050">
            <a:lnSpc>
              <a:spcPct val="90000"/>
            </a:lnSpc>
            <a:spcBef>
              <a:spcPct val="0"/>
            </a:spcBef>
            <a:spcAft>
              <a:spcPct val="15000"/>
            </a:spcAft>
            <a:buChar char="••"/>
          </a:pPr>
          <a:endParaRPr lang="en-AU" sz="900" b="1" kern="1200"/>
        </a:p>
      </dsp:txBody>
      <dsp:txXfrm rot="-5400000">
        <a:off x="924088" y="1340462"/>
        <a:ext cx="3861204" cy="774306"/>
      </dsp:txXfrm>
    </dsp:sp>
    <dsp:sp modelId="{6BB4FA0D-8147-44E5-9CF0-0D3C1511C1DE}">
      <dsp:nvSpPr>
        <dsp:cNvPr id="0" name=""/>
        <dsp:cNvSpPr/>
      </dsp:nvSpPr>
      <dsp:spPr>
        <a:xfrm rot="5400000">
          <a:off x="-198019" y="2628839"/>
          <a:ext cx="1320126" cy="924088"/>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FHI</a:t>
          </a:r>
        </a:p>
        <a:p>
          <a:pPr lvl="0" algn="ctr" defTabSz="711200">
            <a:lnSpc>
              <a:spcPct val="90000"/>
            </a:lnSpc>
            <a:spcBef>
              <a:spcPct val="0"/>
            </a:spcBef>
            <a:spcAft>
              <a:spcPct val="35000"/>
            </a:spcAft>
          </a:pPr>
          <a:r>
            <a:rPr lang="en-AU" sz="1600" kern="1200"/>
            <a:t>Output</a:t>
          </a:r>
        </a:p>
      </dsp:txBody>
      <dsp:txXfrm rot="-5400000">
        <a:off x="0" y="2892864"/>
        <a:ext cx="924088" cy="396038"/>
      </dsp:txXfrm>
    </dsp:sp>
    <dsp:sp modelId="{9C54C782-6CB2-4AFF-B23F-37325B1BD206}">
      <dsp:nvSpPr>
        <dsp:cNvPr id="0" name=""/>
        <dsp:cNvSpPr/>
      </dsp:nvSpPr>
      <dsp:spPr>
        <a:xfrm rot="5400000">
          <a:off x="2446368" y="908541"/>
          <a:ext cx="858533" cy="3903092"/>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b="1" kern="1200"/>
            <a:t>FHI Outputs</a:t>
          </a:r>
        </a:p>
        <a:p>
          <a:pPr marL="57150" lvl="1" indent="-57150" algn="l" defTabSz="400050">
            <a:lnSpc>
              <a:spcPct val="90000"/>
            </a:lnSpc>
            <a:spcBef>
              <a:spcPct val="0"/>
            </a:spcBef>
            <a:spcAft>
              <a:spcPct val="15000"/>
            </a:spcAft>
            <a:buChar char="••"/>
          </a:pPr>
          <a:r>
            <a:rPr lang="en-AU" sz="900" b="0" kern="1200"/>
            <a:t> Select a primary LG and a corresponding financial year</a:t>
          </a:r>
        </a:p>
        <a:p>
          <a:pPr marL="57150" lvl="1" indent="-57150" algn="l" defTabSz="400050">
            <a:lnSpc>
              <a:spcPct val="90000"/>
            </a:lnSpc>
            <a:spcBef>
              <a:spcPct val="0"/>
            </a:spcBef>
            <a:spcAft>
              <a:spcPct val="15000"/>
            </a:spcAft>
            <a:buChar char="••"/>
          </a:pPr>
          <a:r>
            <a:rPr lang="en-AU" sz="900" b="0" kern="1200"/>
            <a:t>Select a secondary LG and a  corresponding financial year</a:t>
          </a:r>
        </a:p>
        <a:p>
          <a:pPr marL="57150" lvl="1" indent="-57150" algn="l" defTabSz="400050">
            <a:lnSpc>
              <a:spcPct val="90000"/>
            </a:lnSpc>
            <a:spcBef>
              <a:spcPct val="0"/>
            </a:spcBef>
            <a:spcAft>
              <a:spcPct val="15000"/>
            </a:spcAft>
            <a:buChar char="••"/>
          </a:pPr>
          <a:r>
            <a:rPr lang="en-AU" sz="900" kern="1200"/>
            <a:t>Display radar charts of ratio scores.</a:t>
          </a:r>
          <a:endParaRPr lang="en-AU" sz="900" b="1" kern="1200"/>
        </a:p>
        <a:p>
          <a:pPr marL="57150" lvl="1" indent="-57150" algn="l" defTabSz="400050">
            <a:lnSpc>
              <a:spcPct val="90000"/>
            </a:lnSpc>
            <a:spcBef>
              <a:spcPct val="0"/>
            </a:spcBef>
            <a:spcAft>
              <a:spcPct val="15000"/>
            </a:spcAft>
            <a:buChar char="••"/>
          </a:pPr>
          <a:r>
            <a:rPr lang="en-AU" sz="900" kern="1200"/>
            <a:t>Display box plots of distribution of AFHC values.</a:t>
          </a:r>
        </a:p>
        <a:p>
          <a:pPr marL="57150" lvl="1" indent="-57150" algn="l" defTabSz="400050">
            <a:lnSpc>
              <a:spcPct val="90000"/>
            </a:lnSpc>
            <a:spcBef>
              <a:spcPct val="0"/>
            </a:spcBef>
            <a:spcAft>
              <a:spcPct val="15000"/>
            </a:spcAft>
            <a:buChar char="••"/>
          </a:pPr>
          <a:endParaRPr lang="en-AU" sz="900" b="1" kern="1200"/>
        </a:p>
      </dsp:txBody>
      <dsp:txXfrm rot="-5400000">
        <a:off x="924089" y="2472730"/>
        <a:ext cx="3861182" cy="7747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20C8D8D42CB46BEA12D4267FE9F3D" ma:contentTypeVersion="1" ma:contentTypeDescription="Create a new document." ma:contentTypeScope="" ma:versionID="f9d7c831a3cca92ceed714cf0427faa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0DE4-6CFE-4422-A752-0980DC60F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B1E37-D810-455F-98E3-980A9B060B00}">
  <ds:schemaRefs>
    <ds:schemaRef ds:uri="http://schemas.microsoft.com/sharepoint/v3/contenttype/forms"/>
  </ds:schemaRefs>
</ds:datastoreItem>
</file>

<file path=customXml/itemProps3.xml><?xml version="1.0" encoding="utf-8"?>
<ds:datastoreItem xmlns:ds="http://schemas.openxmlformats.org/officeDocument/2006/customXml" ds:itemID="{5D3D06AA-2B93-4D9E-9380-5BC00E00FCA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1C7DDD9-9A2D-445F-812E-6D430D11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2811</Words>
  <Characters>16027</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Western Australian Treasury Corporation</Company>
  <LinksUpToDate>false</LinksUpToDate>
  <CharactersWithSpaces>18801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council Web Based FHI - Functinal Specification</dc:title>
  <dc:creator>nshah</dc:creator>
  <cp:lastModifiedBy>Louise Rhattigan</cp:lastModifiedBy>
  <cp:revision>2</cp:revision>
  <cp:lastPrinted>2016-02-11T01:38:00Z</cp:lastPrinted>
  <dcterms:created xsi:type="dcterms:W3CDTF">2016-04-29T03:00:00Z</dcterms:created>
  <dcterms:modified xsi:type="dcterms:W3CDTF">2016-04-29T03:00:00Z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0x010100F1A20C8D8D42CB46BEA12D4267FE9F3D</vt:lpwstr>
  </property>
</Properties>
</file>