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2883" w14:textId="77777777" w:rsidR="000D7000" w:rsidRDefault="008F600D" w:rsidP="00EB283B">
      <w:r>
        <w:rPr>
          <w:noProof/>
        </w:rPr>
        <w:drawing>
          <wp:anchor distT="0" distB="0" distL="114300" distR="114300" simplePos="0" relativeHeight="251668480" behindDoc="1" locked="0" layoutInCell="1" allowOverlap="1" wp14:anchorId="23560819" wp14:editId="368161FA">
            <wp:simplePos x="0" y="0"/>
            <wp:positionH relativeFrom="column">
              <wp:posOffset>-914400</wp:posOffset>
            </wp:positionH>
            <wp:positionV relativeFrom="paragraph">
              <wp:posOffset>-914400</wp:posOffset>
            </wp:positionV>
            <wp:extent cx="7562850" cy="10697419"/>
            <wp:effectExtent l="0" t="0" r="0" b="8890"/>
            <wp:wrapNone/>
            <wp:docPr id="4123597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59702"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10697419"/>
                    </a:xfrm>
                    <a:prstGeom prst="rect">
                      <a:avLst/>
                    </a:prstGeom>
                  </pic:spPr>
                </pic:pic>
              </a:graphicData>
            </a:graphic>
            <wp14:sizeRelH relativeFrom="page">
              <wp14:pctWidth>0</wp14:pctWidth>
            </wp14:sizeRelH>
            <wp14:sizeRelV relativeFrom="page">
              <wp14:pctHeight>0</wp14:pctHeight>
            </wp14:sizeRelV>
          </wp:anchor>
        </w:drawing>
      </w:r>
    </w:p>
    <w:p w14:paraId="6A24F09F" w14:textId="77777777" w:rsidR="00CF5117" w:rsidRDefault="00CF5117" w:rsidP="00F70482">
      <w:pPr>
        <w:pStyle w:val="Title"/>
      </w:pPr>
    </w:p>
    <w:p w14:paraId="262FE518" w14:textId="77777777" w:rsidR="00F43A74" w:rsidRPr="00F43A74" w:rsidRDefault="00224E88" w:rsidP="00F43A74">
      <w:r>
        <w:rPr>
          <w:noProof/>
        </w:rPr>
        <mc:AlternateContent>
          <mc:Choice Requires="wps">
            <w:drawing>
              <wp:anchor distT="45720" distB="45720" distL="114300" distR="114300" simplePos="0" relativeHeight="251665408" behindDoc="0" locked="0" layoutInCell="1" allowOverlap="1" wp14:anchorId="1C9884D2" wp14:editId="068D21FC">
                <wp:simplePos x="0" y="0"/>
                <wp:positionH relativeFrom="column">
                  <wp:posOffset>1555845</wp:posOffset>
                </wp:positionH>
                <wp:positionV relativeFrom="paragraph">
                  <wp:posOffset>5164132</wp:posOffset>
                </wp:positionV>
                <wp:extent cx="4639310" cy="2674961"/>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2674961"/>
                        </a:xfrm>
                        <a:prstGeom prst="rect">
                          <a:avLst/>
                        </a:prstGeom>
                        <a:solidFill>
                          <a:srgbClr val="FFFFFF"/>
                        </a:solidFill>
                        <a:ln w="9525">
                          <a:noFill/>
                          <a:miter lim="800000"/>
                          <a:headEnd/>
                          <a:tailEnd/>
                        </a:ln>
                      </wps:spPr>
                      <wps:txbx>
                        <w:txbxContent>
                          <w:p w14:paraId="5B1D7B29" w14:textId="1FB2B5EA" w:rsidR="00224E88" w:rsidRPr="00F70482" w:rsidRDefault="008E6D79" w:rsidP="00F70482">
                            <w:pPr>
                              <w:pStyle w:val="Title"/>
                            </w:pPr>
                            <w:r>
                              <w:t xml:space="preserve">LOCAL GOVERNMENT FINANCIAL </w:t>
                            </w:r>
                            <w:r w:rsidR="007B3989">
                              <w:t>INDICATOR</w:t>
                            </w:r>
                          </w:p>
                          <w:p w14:paraId="150AB0BC" w14:textId="0787653A" w:rsidR="00F70482" w:rsidRPr="00F70482" w:rsidRDefault="008E6D79" w:rsidP="009B0860">
                            <w:pPr>
                              <w:pStyle w:val="Subtitle"/>
                            </w:pPr>
                            <w:r>
                              <w:t xml:space="preserve">Accompanying Guide - </w:t>
                            </w:r>
                            <w:r w:rsidR="002D5DE0">
                              <w:t>March</w:t>
                            </w:r>
                            <w: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884D2" id="_x0000_t202" coordsize="21600,21600" o:spt="202" path="m,l,21600r21600,l21600,xe">
                <v:stroke joinstyle="miter"/>
                <v:path gradientshapeok="t" o:connecttype="rect"/>
              </v:shapetype>
              <v:shape id="Text Box 2" o:spid="_x0000_s1026" type="#_x0000_t202" style="position:absolute;margin-left:122.5pt;margin-top:406.6pt;width:365.3pt;height:21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" stroked="f">
                <v:textbox>
                  <w:txbxContent>
                    <w:p w14:paraId="5B1D7B29" w14:textId="1FB2B5EA" w:rsidR="00224E88" w:rsidRPr="00F70482" w:rsidRDefault="008E6D79" w:rsidP="00F70482">
                      <w:pPr>
                        <w:pStyle w:val="Title"/>
                      </w:pPr>
                      <w:r>
                        <w:t xml:space="preserve">LOCAL GOVERNMENT FINANCIAL </w:t>
                      </w:r>
                      <w:r w:rsidR="007B3989">
                        <w:t>INDICATOR</w:t>
                      </w:r>
                    </w:p>
                    <w:p w14:paraId="150AB0BC" w14:textId="0787653A" w:rsidR="00F70482" w:rsidRPr="00F70482" w:rsidRDefault="008E6D79" w:rsidP="009B0860">
                      <w:pPr>
                        <w:pStyle w:val="Subtitle"/>
                      </w:pPr>
                      <w:r>
                        <w:t xml:space="preserve">Accompanying Guide - </w:t>
                      </w:r>
                      <w:r w:rsidR="002D5DE0">
                        <w:t>March</w:t>
                      </w:r>
                      <w:r>
                        <w:t xml:space="preserve"> 2025</w:t>
                      </w:r>
                    </w:p>
                  </w:txbxContent>
                </v:textbox>
                <w10:wrap type="square"/>
              </v:shape>
            </w:pict>
          </mc:Fallback>
        </mc:AlternateContent>
      </w:r>
    </w:p>
    <w:p w14:paraId="1674A1B0" w14:textId="77777777" w:rsidR="00F43A74" w:rsidRDefault="00F43A74" w:rsidP="00037CB0">
      <w:pPr>
        <w:pStyle w:val="Heading1"/>
        <w:sectPr w:rsidR="00F43A74">
          <w:footerReference w:type="default" r:id="rId12"/>
          <w:pgSz w:w="11906" w:h="16838"/>
          <w:pgMar w:top="1440" w:right="1440" w:bottom="1440" w:left="1440" w:header="708" w:footer="708" w:gutter="0"/>
          <w:cols w:space="708"/>
          <w:docGrid w:linePitch="360"/>
        </w:sectPr>
      </w:pPr>
    </w:p>
    <w:sdt>
      <w:sdtPr>
        <w:rPr>
          <w:rFonts w:ascii="Aptos Light" w:hAnsi="Aptos Light"/>
          <w:b w:val="0"/>
          <w:caps w:val="0"/>
          <w:color w:val="auto"/>
          <w:kern w:val="2"/>
          <w:szCs w:val="22"/>
          <w:lang w:val="en-AU"/>
          <w14:ligatures w14:val="standardContextual"/>
        </w:rPr>
        <w:id w:val="1626962303"/>
        <w:docPartObj>
          <w:docPartGallery w:val="Table of Contents"/>
          <w:docPartUnique/>
        </w:docPartObj>
      </w:sdtPr>
      <w:sdtEndPr>
        <w:rPr>
          <w:bCs/>
          <w:noProof/>
        </w:rPr>
      </w:sdtEndPr>
      <w:sdtContent>
        <w:p w14:paraId="7774ED4B" w14:textId="1C89B299" w:rsidR="00D219FA" w:rsidRDefault="00D219FA">
          <w:pPr>
            <w:pStyle w:val="TOCHeading"/>
          </w:pPr>
          <w:r>
            <w:t>Contents</w:t>
          </w:r>
        </w:p>
        <w:p w14:paraId="18F6F01B" w14:textId="2C9BA087" w:rsidR="002D5DE0" w:rsidRDefault="00D219FA">
          <w:pPr>
            <w:pStyle w:val="TOC1"/>
            <w:rPr>
              <w:rFonts w:cstheme="minorBidi"/>
              <w:b w:val="0"/>
              <w:caps w:val="0"/>
              <w:noProof/>
              <w:color w:val="auto"/>
              <w:kern w:val="2"/>
              <w:sz w:val="24"/>
              <w:szCs w:val="24"/>
              <w:lang w:val="en-AU" w:eastAsia="en-AU"/>
              <w14:ligatures w14:val="standardContextual"/>
            </w:rPr>
          </w:pPr>
          <w:r>
            <w:fldChar w:fldCharType="begin"/>
          </w:r>
          <w:r>
            <w:instrText xml:space="preserve"> TOC \o "1-3" \h \z \u </w:instrText>
          </w:r>
          <w:r>
            <w:fldChar w:fldCharType="separate"/>
          </w:r>
          <w:hyperlink w:anchor="_Toc192499385" w:history="1">
            <w:r w:rsidR="002D5DE0" w:rsidRPr="00182AB8">
              <w:rPr>
                <w:rStyle w:val="Hyperlink"/>
                <w:noProof/>
              </w:rPr>
              <w:t>Introduction</w:t>
            </w:r>
            <w:r w:rsidR="002D5DE0">
              <w:rPr>
                <w:noProof/>
                <w:webHidden/>
              </w:rPr>
              <w:tab/>
            </w:r>
            <w:r w:rsidR="002D5DE0">
              <w:rPr>
                <w:noProof/>
                <w:webHidden/>
              </w:rPr>
              <w:fldChar w:fldCharType="begin"/>
            </w:r>
            <w:r w:rsidR="002D5DE0">
              <w:rPr>
                <w:noProof/>
                <w:webHidden/>
              </w:rPr>
              <w:instrText xml:space="preserve"> PAGEREF _Toc192499385 \h </w:instrText>
            </w:r>
            <w:r w:rsidR="002D5DE0">
              <w:rPr>
                <w:noProof/>
                <w:webHidden/>
              </w:rPr>
            </w:r>
            <w:r w:rsidR="002D5DE0">
              <w:rPr>
                <w:noProof/>
                <w:webHidden/>
              </w:rPr>
              <w:fldChar w:fldCharType="separate"/>
            </w:r>
            <w:r w:rsidR="002D5DE0">
              <w:rPr>
                <w:noProof/>
                <w:webHidden/>
              </w:rPr>
              <w:t>3</w:t>
            </w:r>
            <w:r w:rsidR="002D5DE0">
              <w:rPr>
                <w:noProof/>
                <w:webHidden/>
              </w:rPr>
              <w:fldChar w:fldCharType="end"/>
            </w:r>
          </w:hyperlink>
        </w:p>
        <w:p w14:paraId="5465E7CA" w14:textId="26FF7DCD" w:rsidR="002D5DE0" w:rsidRDefault="002D5DE0">
          <w:pPr>
            <w:pStyle w:val="TOC1"/>
            <w:rPr>
              <w:rFonts w:cstheme="minorBidi"/>
              <w:b w:val="0"/>
              <w:caps w:val="0"/>
              <w:noProof/>
              <w:color w:val="auto"/>
              <w:kern w:val="2"/>
              <w:sz w:val="24"/>
              <w:szCs w:val="24"/>
              <w:lang w:val="en-AU" w:eastAsia="en-AU"/>
              <w14:ligatures w14:val="standardContextual"/>
            </w:rPr>
          </w:pPr>
          <w:hyperlink w:anchor="_Toc192499386" w:history="1">
            <w:r w:rsidRPr="00182AB8">
              <w:rPr>
                <w:rStyle w:val="Hyperlink"/>
                <w:noProof/>
              </w:rPr>
              <w:t>1.0 Design and Calculation of the Local Government Financial Indicator</w:t>
            </w:r>
            <w:r>
              <w:rPr>
                <w:noProof/>
                <w:webHidden/>
              </w:rPr>
              <w:tab/>
            </w:r>
            <w:r>
              <w:rPr>
                <w:noProof/>
                <w:webHidden/>
              </w:rPr>
              <w:fldChar w:fldCharType="begin"/>
            </w:r>
            <w:r>
              <w:rPr>
                <w:noProof/>
                <w:webHidden/>
              </w:rPr>
              <w:instrText xml:space="preserve"> PAGEREF _Toc192499386 \h </w:instrText>
            </w:r>
            <w:r>
              <w:rPr>
                <w:noProof/>
                <w:webHidden/>
              </w:rPr>
            </w:r>
            <w:r>
              <w:rPr>
                <w:noProof/>
                <w:webHidden/>
              </w:rPr>
              <w:fldChar w:fldCharType="separate"/>
            </w:r>
            <w:r>
              <w:rPr>
                <w:noProof/>
                <w:webHidden/>
              </w:rPr>
              <w:t>4</w:t>
            </w:r>
            <w:r>
              <w:rPr>
                <w:noProof/>
                <w:webHidden/>
              </w:rPr>
              <w:fldChar w:fldCharType="end"/>
            </w:r>
          </w:hyperlink>
        </w:p>
        <w:p w14:paraId="647A221F" w14:textId="152F710F" w:rsidR="002D5DE0" w:rsidRDefault="002D5DE0">
          <w:pPr>
            <w:pStyle w:val="TOC2"/>
            <w:tabs>
              <w:tab w:val="right" w:leader="dot" w:pos="9016"/>
            </w:tabs>
            <w:rPr>
              <w:rFonts w:cstheme="minorBidi"/>
              <w:b w:val="0"/>
              <w:noProof/>
              <w:color w:val="auto"/>
              <w:kern w:val="2"/>
              <w:sz w:val="24"/>
              <w:szCs w:val="24"/>
              <w:lang w:val="en-AU" w:eastAsia="en-AU"/>
              <w14:ligatures w14:val="standardContextual"/>
            </w:rPr>
          </w:pPr>
          <w:hyperlink w:anchor="_Toc192499387" w:history="1">
            <w:r w:rsidRPr="00182AB8">
              <w:rPr>
                <w:rStyle w:val="Hyperlink"/>
                <w:noProof/>
              </w:rPr>
              <w:t>1.1 LGFI design</w:t>
            </w:r>
            <w:r>
              <w:rPr>
                <w:noProof/>
                <w:webHidden/>
              </w:rPr>
              <w:tab/>
            </w:r>
            <w:r>
              <w:rPr>
                <w:noProof/>
                <w:webHidden/>
              </w:rPr>
              <w:fldChar w:fldCharType="begin"/>
            </w:r>
            <w:r>
              <w:rPr>
                <w:noProof/>
                <w:webHidden/>
              </w:rPr>
              <w:instrText xml:space="preserve"> PAGEREF _Toc192499387 \h </w:instrText>
            </w:r>
            <w:r>
              <w:rPr>
                <w:noProof/>
                <w:webHidden/>
              </w:rPr>
            </w:r>
            <w:r>
              <w:rPr>
                <w:noProof/>
                <w:webHidden/>
              </w:rPr>
              <w:fldChar w:fldCharType="separate"/>
            </w:r>
            <w:r>
              <w:rPr>
                <w:noProof/>
                <w:webHidden/>
              </w:rPr>
              <w:t>4</w:t>
            </w:r>
            <w:r>
              <w:rPr>
                <w:noProof/>
                <w:webHidden/>
              </w:rPr>
              <w:fldChar w:fldCharType="end"/>
            </w:r>
          </w:hyperlink>
        </w:p>
        <w:p w14:paraId="3C7BF520" w14:textId="0732DFAE" w:rsidR="002D5DE0" w:rsidRDefault="002D5DE0">
          <w:pPr>
            <w:pStyle w:val="TOC2"/>
            <w:tabs>
              <w:tab w:val="right" w:leader="dot" w:pos="9016"/>
            </w:tabs>
            <w:rPr>
              <w:rFonts w:cstheme="minorBidi"/>
              <w:b w:val="0"/>
              <w:noProof/>
              <w:color w:val="auto"/>
              <w:kern w:val="2"/>
              <w:sz w:val="24"/>
              <w:szCs w:val="24"/>
              <w:lang w:val="en-AU" w:eastAsia="en-AU"/>
              <w14:ligatures w14:val="standardContextual"/>
            </w:rPr>
          </w:pPr>
          <w:hyperlink w:anchor="_Toc192499388" w:history="1">
            <w:r w:rsidRPr="00182AB8">
              <w:rPr>
                <w:rStyle w:val="Hyperlink"/>
                <w:noProof/>
              </w:rPr>
              <w:t>1.2 LGFI calculation</w:t>
            </w:r>
            <w:r>
              <w:rPr>
                <w:noProof/>
                <w:webHidden/>
              </w:rPr>
              <w:tab/>
            </w:r>
            <w:r>
              <w:rPr>
                <w:noProof/>
                <w:webHidden/>
              </w:rPr>
              <w:fldChar w:fldCharType="begin"/>
            </w:r>
            <w:r>
              <w:rPr>
                <w:noProof/>
                <w:webHidden/>
              </w:rPr>
              <w:instrText xml:space="preserve"> PAGEREF _Toc192499388 \h </w:instrText>
            </w:r>
            <w:r>
              <w:rPr>
                <w:noProof/>
                <w:webHidden/>
              </w:rPr>
            </w:r>
            <w:r>
              <w:rPr>
                <w:noProof/>
                <w:webHidden/>
              </w:rPr>
              <w:fldChar w:fldCharType="separate"/>
            </w:r>
            <w:r>
              <w:rPr>
                <w:noProof/>
                <w:webHidden/>
              </w:rPr>
              <w:t>5</w:t>
            </w:r>
            <w:r>
              <w:rPr>
                <w:noProof/>
                <w:webHidden/>
              </w:rPr>
              <w:fldChar w:fldCharType="end"/>
            </w:r>
          </w:hyperlink>
        </w:p>
        <w:p w14:paraId="7A779BBF" w14:textId="7D1CC69B" w:rsidR="002D5DE0" w:rsidRDefault="002D5DE0">
          <w:pPr>
            <w:pStyle w:val="TOC3"/>
            <w:tabs>
              <w:tab w:val="right" w:leader="dot" w:pos="9016"/>
            </w:tabs>
            <w:rPr>
              <w:rFonts w:cstheme="minorBidi"/>
              <w:i w:val="0"/>
              <w:noProof/>
              <w:color w:val="auto"/>
              <w:kern w:val="2"/>
              <w:sz w:val="24"/>
              <w:szCs w:val="24"/>
              <w:lang w:val="en-AU" w:eastAsia="en-AU"/>
              <w14:ligatures w14:val="standardContextual"/>
            </w:rPr>
          </w:pPr>
          <w:hyperlink w:anchor="_Toc192499389" w:history="1">
            <w:r w:rsidRPr="00182AB8">
              <w:rPr>
                <w:rStyle w:val="Hyperlink"/>
                <w:noProof/>
              </w:rPr>
              <w:t>1.2.1 Overview</w:t>
            </w:r>
            <w:r>
              <w:rPr>
                <w:noProof/>
                <w:webHidden/>
              </w:rPr>
              <w:tab/>
            </w:r>
            <w:r>
              <w:rPr>
                <w:noProof/>
                <w:webHidden/>
              </w:rPr>
              <w:fldChar w:fldCharType="begin"/>
            </w:r>
            <w:r>
              <w:rPr>
                <w:noProof/>
                <w:webHidden/>
              </w:rPr>
              <w:instrText xml:space="preserve"> PAGEREF _Toc192499389 \h </w:instrText>
            </w:r>
            <w:r>
              <w:rPr>
                <w:noProof/>
                <w:webHidden/>
              </w:rPr>
            </w:r>
            <w:r>
              <w:rPr>
                <w:noProof/>
                <w:webHidden/>
              </w:rPr>
              <w:fldChar w:fldCharType="separate"/>
            </w:r>
            <w:r>
              <w:rPr>
                <w:noProof/>
                <w:webHidden/>
              </w:rPr>
              <w:t>5</w:t>
            </w:r>
            <w:r>
              <w:rPr>
                <w:noProof/>
                <w:webHidden/>
              </w:rPr>
              <w:fldChar w:fldCharType="end"/>
            </w:r>
          </w:hyperlink>
        </w:p>
        <w:p w14:paraId="599EE765" w14:textId="2FF67E48" w:rsidR="002D5DE0" w:rsidRDefault="002D5DE0">
          <w:pPr>
            <w:pStyle w:val="TOC3"/>
            <w:tabs>
              <w:tab w:val="right" w:leader="dot" w:pos="9016"/>
            </w:tabs>
            <w:rPr>
              <w:rFonts w:cstheme="minorBidi"/>
              <w:i w:val="0"/>
              <w:noProof/>
              <w:color w:val="auto"/>
              <w:kern w:val="2"/>
              <w:sz w:val="24"/>
              <w:szCs w:val="24"/>
              <w:lang w:val="en-AU" w:eastAsia="en-AU"/>
              <w14:ligatures w14:val="standardContextual"/>
            </w:rPr>
          </w:pPr>
          <w:hyperlink w:anchor="_Toc192499390" w:history="1">
            <w:r w:rsidRPr="00182AB8">
              <w:rPr>
                <w:rStyle w:val="Hyperlink"/>
                <w:noProof/>
              </w:rPr>
              <w:t>1.2.2 Setting of ratio thresholds</w:t>
            </w:r>
            <w:r>
              <w:rPr>
                <w:noProof/>
                <w:webHidden/>
              </w:rPr>
              <w:tab/>
            </w:r>
            <w:r>
              <w:rPr>
                <w:noProof/>
                <w:webHidden/>
              </w:rPr>
              <w:fldChar w:fldCharType="begin"/>
            </w:r>
            <w:r>
              <w:rPr>
                <w:noProof/>
                <w:webHidden/>
              </w:rPr>
              <w:instrText xml:space="preserve"> PAGEREF _Toc192499390 \h </w:instrText>
            </w:r>
            <w:r>
              <w:rPr>
                <w:noProof/>
                <w:webHidden/>
              </w:rPr>
            </w:r>
            <w:r>
              <w:rPr>
                <w:noProof/>
                <w:webHidden/>
              </w:rPr>
              <w:fldChar w:fldCharType="separate"/>
            </w:r>
            <w:r>
              <w:rPr>
                <w:noProof/>
                <w:webHidden/>
              </w:rPr>
              <w:t>6</w:t>
            </w:r>
            <w:r>
              <w:rPr>
                <w:noProof/>
                <w:webHidden/>
              </w:rPr>
              <w:fldChar w:fldCharType="end"/>
            </w:r>
          </w:hyperlink>
        </w:p>
        <w:p w14:paraId="401FF505" w14:textId="3651767E" w:rsidR="002D5DE0" w:rsidRDefault="002D5DE0">
          <w:pPr>
            <w:pStyle w:val="TOC3"/>
            <w:tabs>
              <w:tab w:val="right" w:leader="dot" w:pos="9016"/>
            </w:tabs>
            <w:rPr>
              <w:rFonts w:cstheme="minorBidi"/>
              <w:i w:val="0"/>
              <w:noProof/>
              <w:color w:val="auto"/>
              <w:kern w:val="2"/>
              <w:sz w:val="24"/>
              <w:szCs w:val="24"/>
              <w:lang w:val="en-AU" w:eastAsia="en-AU"/>
              <w14:ligatures w14:val="standardContextual"/>
            </w:rPr>
          </w:pPr>
          <w:hyperlink w:anchor="_Toc192499391" w:history="1">
            <w:r w:rsidRPr="00182AB8">
              <w:rPr>
                <w:rStyle w:val="Hyperlink"/>
                <w:noProof/>
              </w:rPr>
              <w:t>1.2.3 Ratio score mapping</w:t>
            </w:r>
            <w:r>
              <w:rPr>
                <w:noProof/>
                <w:webHidden/>
              </w:rPr>
              <w:tab/>
            </w:r>
            <w:r>
              <w:rPr>
                <w:noProof/>
                <w:webHidden/>
              </w:rPr>
              <w:fldChar w:fldCharType="begin"/>
            </w:r>
            <w:r>
              <w:rPr>
                <w:noProof/>
                <w:webHidden/>
              </w:rPr>
              <w:instrText xml:space="preserve"> PAGEREF _Toc192499391 \h </w:instrText>
            </w:r>
            <w:r>
              <w:rPr>
                <w:noProof/>
                <w:webHidden/>
              </w:rPr>
            </w:r>
            <w:r>
              <w:rPr>
                <w:noProof/>
                <w:webHidden/>
              </w:rPr>
              <w:fldChar w:fldCharType="separate"/>
            </w:r>
            <w:r>
              <w:rPr>
                <w:noProof/>
                <w:webHidden/>
              </w:rPr>
              <w:t>7</w:t>
            </w:r>
            <w:r>
              <w:rPr>
                <w:noProof/>
                <w:webHidden/>
              </w:rPr>
              <w:fldChar w:fldCharType="end"/>
            </w:r>
          </w:hyperlink>
        </w:p>
        <w:p w14:paraId="250786CD" w14:textId="1E17E034" w:rsidR="002D5DE0" w:rsidRDefault="002D5DE0">
          <w:pPr>
            <w:pStyle w:val="TOC3"/>
            <w:tabs>
              <w:tab w:val="right" w:leader="dot" w:pos="9016"/>
            </w:tabs>
            <w:rPr>
              <w:rFonts w:cstheme="minorBidi"/>
              <w:i w:val="0"/>
              <w:noProof/>
              <w:color w:val="auto"/>
              <w:kern w:val="2"/>
              <w:sz w:val="24"/>
              <w:szCs w:val="24"/>
              <w:lang w:val="en-AU" w:eastAsia="en-AU"/>
              <w14:ligatures w14:val="standardContextual"/>
            </w:rPr>
          </w:pPr>
          <w:hyperlink w:anchor="_Toc192499392" w:history="1">
            <w:r w:rsidRPr="00182AB8">
              <w:rPr>
                <w:rStyle w:val="Hyperlink"/>
                <w:noProof/>
              </w:rPr>
              <w:t>1.2.4 Ratio weighting</w:t>
            </w:r>
            <w:r>
              <w:rPr>
                <w:noProof/>
                <w:webHidden/>
              </w:rPr>
              <w:tab/>
            </w:r>
            <w:r>
              <w:rPr>
                <w:noProof/>
                <w:webHidden/>
              </w:rPr>
              <w:fldChar w:fldCharType="begin"/>
            </w:r>
            <w:r>
              <w:rPr>
                <w:noProof/>
                <w:webHidden/>
              </w:rPr>
              <w:instrText xml:space="preserve"> PAGEREF _Toc192499392 \h </w:instrText>
            </w:r>
            <w:r>
              <w:rPr>
                <w:noProof/>
                <w:webHidden/>
              </w:rPr>
            </w:r>
            <w:r>
              <w:rPr>
                <w:noProof/>
                <w:webHidden/>
              </w:rPr>
              <w:fldChar w:fldCharType="separate"/>
            </w:r>
            <w:r>
              <w:rPr>
                <w:noProof/>
                <w:webHidden/>
              </w:rPr>
              <w:t>8</w:t>
            </w:r>
            <w:r>
              <w:rPr>
                <w:noProof/>
                <w:webHidden/>
              </w:rPr>
              <w:fldChar w:fldCharType="end"/>
            </w:r>
          </w:hyperlink>
        </w:p>
        <w:p w14:paraId="2CCB32FA" w14:textId="41781D47" w:rsidR="002D5DE0" w:rsidRDefault="002D5DE0">
          <w:pPr>
            <w:pStyle w:val="TOC3"/>
            <w:tabs>
              <w:tab w:val="right" w:leader="dot" w:pos="9016"/>
            </w:tabs>
            <w:rPr>
              <w:rFonts w:cstheme="minorBidi"/>
              <w:i w:val="0"/>
              <w:noProof/>
              <w:color w:val="auto"/>
              <w:kern w:val="2"/>
              <w:sz w:val="24"/>
              <w:szCs w:val="24"/>
              <w:lang w:val="en-AU" w:eastAsia="en-AU"/>
              <w14:ligatures w14:val="standardContextual"/>
            </w:rPr>
          </w:pPr>
          <w:hyperlink w:anchor="_Toc192499393" w:history="1">
            <w:r w:rsidRPr="00182AB8">
              <w:rPr>
                <w:rStyle w:val="Hyperlink"/>
                <w:noProof/>
              </w:rPr>
              <w:t>1.2.5 Data</w:t>
            </w:r>
            <w:r>
              <w:rPr>
                <w:noProof/>
                <w:webHidden/>
              </w:rPr>
              <w:tab/>
            </w:r>
            <w:r>
              <w:rPr>
                <w:noProof/>
                <w:webHidden/>
              </w:rPr>
              <w:fldChar w:fldCharType="begin"/>
            </w:r>
            <w:r>
              <w:rPr>
                <w:noProof/>
                <w:webHidden/>
              </w:rPr>
              <w:instrText xml:space="preserve"> PAGEREF _Toc192499393 \h </w:instrText>
            </w:r>
            <w:r>
              <w:rPr>
                <w:noProof/>
                <w:webHidden/>
              </w:rPr>
            </w:r>
            <w:r>
              <w:rPr>
                <w:noProof/>
                <w:webHidden/>
              </w:rPr>
              <w:fldChar w:fldCharType="separate"/>
            </w:r>
            <w:r>
              <w:rPr>
                <w:noProof/>
                <w:webHidden/>
              </w:rPr>
              <w:t>8</w:t>
            </w:r>
            <w:r>
              <w:rPr>
                <w:noProof/>
                <w:webHidden/>
              </w:rPr>
              <w:fldChar w:fldCharType="end"/>
            </w:r>
          </w:hyperlink>
        </w:p>
        <w:p w14:paraId="0A6F65C2" w14:textId="46B553FB" w:rsidR="002D5DE0" w:rsidRDefault="002D5DE0">
          <w:pPr>
            <w:pStyle w:val="TOC3"/>
            <w:tabs>
              <w:tab w:val="right" w:leader="dot" w:pos="9016"/>
            </w:tabs>
            <w:rPr>
              <w:rFonts w:cstheme="minorBidi"/>
              <w:i w:val="0"/>
              <w:noProof/>
              <w:color w:val="auto"/>
              <w:kern w:val="2"/>
              <w:sz w:val="24"/>
              <w:szCs w:val="24"/>
              <w:lang w:val="en-AU" w:eastAsia="en-AU"/>
              <w14:ligatures w14:val="standardContextual"/>
            </w:rPr>
          </w:pPr>
          <w:hyperlink w:anchor="_Toc192499394" w:history="1">
            <w:r w:rsidRPr="00182AB8">
              <w:rPr>
                <w:rStyle w:val="Hyperlink"/>
                <w:noProof/>
              </w:rPr>
              <w:t>1.2.6 Missing ratios</w:t>
            </w:r>
            <w:r>
              <w:rPr>
                <w:noProof/>
                <w:webHidden/>
              </w:rPr>
              <w:tab/>
            </w:r>
            <w:r>
              <w:rPr>
                <w:noProof/>
                <w:webHidden/>
              </w:rPr>
              <w:fldChar w:fldCharType="begin"/>
            </w:r>
            <w:r>
              <w:rPr>
                <w:noProof/>
                <w:webHidden/>
              </w:rPr>
              <w:instrText xml:space="preserve"> PAGEREF _Toc192499394 \h </w:instrText>
            </w:r>
            <w:r>
              <w:rPr>
                <w:noProof/>
                <w:webHidden/>
              </w:rPr>
            </w:r>
            <w:r>
              <w:rPr>
                <w:noProof/>
                <w:webHidden/>
              </w:rPr>
              <w:fldChar w:fldCharType="separate"/>
            </w:r>
            <w:r>
              <w:rPr>
                <w:noProof/>
                <w:webHidden/>
              </w:rPr>
              <w:t>8</w:t>
            </w:r>
            <w:r>
              <w:rPr>
                <w:noProof/>
                <w:webHidden/>
              </w:rPr>
              <w:fldChar w:fldCharType="end"/>
            </w:r>
          </w:hyperlink>
        </w:p>
        <w:p w14:paraId="6E9F7B25" w14:textId="3F192028" w:rsidR="002D5DE0" w:rsidRDefault="002D5DE0">
          <w:pPr>
            <w:pStyle w:val="TOC3"/>
            <w:tabs>
              <w:tab w:val="right" w:leader="dot" w:pos="9016"/>
            </w:tabs>
            <w:rPr>
              <w:rFonts w:cstheme="minorBidi"/>
              <w:i w:val="0"/>
              <w:noProof/>
              <w:color w:val="auto"/>
              <w:kern w:val="2"/>
              <w:sz w:val="24"/>
              <w:szCs w:val="24"/>
              <w:lang w:val="en-AU" w:eastAsia="en-AU"/>
              <w14:ligatures w14:val="standardContextual"/>
            </w:rPr>
          </w:pPr>
          <w:hyperlink w:anchor="_Toc192499395" w:history="1">
            <w:r w:rsidRPr="00182AB8">
              <w:rPr>
                <w:rStyle w:val="Hyperlink"/>
                <w:noProof/>
              </w:rPr>
              <w:t>1.2.7 Example LGFI calculation</w:t>
            </w:r>
            <w:r>
              <w:rPr>
                <w:noProof/>
                <w:webHidden/>
              </w:rPr>
              <w:tab/>
            </w:r>
            <w:r>
              <w:rPr>
                <w:noProof/>
                <w:webHidden/>
              </w:rPr>
              <w:fldChar w:fldCharType="begin"/>
            </w:r>
            <w:r>
              <w:rPr>
                <w:noProof/>
                <w:webHidden/>
              </w:rPr>
              <w:instrText xml:space="preserve"> PAGEREF _Toc192499395 \h </w:instrText>
            </w:r>
            <w:r>
              <w:rPr>
                <w:noProof/>
                <w:webHidden/>
              </w:rPr>
            </w:r>
            <w:r>
              <w:rPr>
                <w:noProof/>
                <w:webHidden/>
              </w:rPr>
              <w:fldChar w:fldCharType="separate"/>
            </w:r>
            <w:r>
              <w:rPr>
                <w:noProof/>
                <w:webHidden/>
              </w:rPr>
              <w:t>9</w:t>
            </w:r>
            <w:r>
              <w:rPr>
                <w:noProof/>
                <w:webHidden/>
              </w:rPr>
              <w:fldChar w:fldCharType="end"/>
            </w:r>
          </w:hyperlink>
        </w:p>
        <w:p w14:paraId="77443911" w14:textId="4F00E239" w:rsidR="002D5DE0" w:rsidRDefault="002D5DE0">
          <w:pPr>
            <w:pStyle w:val="TOC1"/>
            <w:rPr>
              <w:rFonts w:cstheme="minorBidi"/>
              <w:b w:val="0"/>
              <w:caps w:val="0"/>
              <w:noProof/>
              <w:color w:val="auto"/>
              <w:kern w:val="2"/>
              <w:sz w:val="24"/>
              <w:szCs w:val="24"/>
              <w:lang w:val="en-AU" w:eastAsia="en-AU"/>
              <w14:ligatures w14:val="standardContextual"/>
            </w:rPr>
          </w:pPr>
          <w:hyperlink w:anchor="_Toc192499396" w:history="1">
            <w:r w:rsidRPr="00182AB8">
              <w:rPr>
                <w:rStyle w:val="Hyperlink"/>
                <w:noProof/>
              </w:rPr>
              <w:t>2.0 Additional outputs for interpretation</w:t>
            </w:r>
            <w:r>
              <w:rPr>
                <w:noProof/>
                <w:webHidden/>
              </w:rPr>
              <w:tab/>
            </w:r>
            <w:r>
              <w:rPr>
                <w:noProof/>
                <w:webHidden/>
              </w:rPr>
              <w:fldChar w:fldCharType="begin"/>
            </w:r>
            <w:r>
              <w:rPr>
                <w:noProof/>
                <w:webHidden/>
              </w:rPr>
              <w:instrText xml:space="preserve"> PAGEREF _Toc192499396 \h </w:instrText>
            </w:r>
            <w:r>
              <w:rPr>
                <w:noProof/>
                <w:webHidden/>
              </w:rPr>
            </w:r>
            <w:r>
              <w:rPr>
                <w:noProof/>
                <w:webHidden/>
              </w:rPr>
              <w:fldChar w:fldCharType="separate"/>
            </w:r>
            <w:r>
              <w:rPr>
                <w:noProof/>
                <w:webHidden/>
              </w:rPr>
              <w:t>9</w:t>
            </w:r>
            <w:r>
              <w:rPr>
                <w:noProof/>
                <w:webHidden/>
              </w:rPr>
              <w:fldChar w:fldCharType="end"/>
            </w:r>
          </w:hyperlink>
        </w:p>
        <w:p w14:paraId="0F4E407B" w14:textId="603C2692" w:rsidR="002D5DE0" w:rsidRDefault="002D5DE0">
          <w:pPr>
            <w:pStyle w:val="TOC2"/>
            <w:tabs>
              <w:tab w:val="right" w:leader="dot" w:pos="9016"/>
            </w:tabs>
            <w:rPr>
              <w:rFonts w:cstheme="minorBidi"/>
              <w:b w:val="0"/>
              <w:noProof/>
              <w:color w:val="auto"/>
              <w:kern w:val="2"/>
              <w:sz w:val="24"/>
              <w:szCs w:val="24"/>
              <w:lang w:val="en-AU" w:eastAsia="en-AU"/>
              <w14:ligatures w14:val="standardContextual"/>
            </w:rPr>
          </w:pPr>
          <w:hyperlink w:anchor="_Toc192499397" w:history="1">
            <w:r w:rsidRPr="00182AB8">
              <w:rPr>
                <w:rStyle w:val="Hyperlink"/>
                <w:noProof/>
              </w:rPr>
              <w:t>2.1 Comparison selector</w:t>
            </w:r>
            <w:r>
              <w:rPr>
                <w:noProof/>
                <w:webHidden/>
              </w:rPr>
              <w:tab/>
            </w:r>
            <w:r>
              <w:rPr>
                <w:noProof/>
                <w:webHidden/>
              </w:rPr>
              <w:fldChar w:fldCharType="begin"/>
            </w:r>
            <w:r>
              <w:rPr>
                <w:noProof/>
                <w:webHidden/>
              </w:rPr>
              <w:instrText xml:space="preserve"> PAGEREF _Toc192499397 \h </w:instrText>
            </w:r>
            <w:r>
              <w:rPr>
                <w:noProof/>
                <w:webHidden/>
              </w:rPr>
            </w:r>
            <w:r>
              <w:rPr>
                <w:noProof/>
                <w:webHidden/>
              </w:rPr>
              <w:fldChar w:fldCharType="separate"/>
            </w:r>
            <w:r>
              <w:rPr>
                <w:noProof/>
                <w:webHidden/>
              </w:rPr>
              <w:t>9</w:t>
            </w:r>
            <w:r>
              <w:rPr>
                <w:noProof/>
                <w:webHidden/>
              </w:rPr>
              <w:fldChar w:fldCharType="end"/>
            </w:r>
          </w:hyperlink>
        </w:p>
        <w:p w14:paraId="480C7989" w14:textId="3F89FE7A" w:rsidR="002D5DE0" w:rsidRDefault="002D5DE0">
          <w:pPr>
            <w:pStyle w:val="TOC2"/>
            <w:tabs>
              <w:tab w:val="right" w:leader="dot" w:pos="9016"/>
            </w:tabs>
            <w:rPr>
              <w:rFonts w:cstheme="minorBidi"/>
              <w:b w:val="0"/>
              <w:noProof/>
              <w:color w:val="auto"/>
              <w:kern w:val="2"/>
              <w:sz w:val="24"/>
              <w:szCs w:val="24"/>
              <w:lang w:val="en-AU" w:eastAsia="en-AU"/>
              <w14:ligatures w14:val="standardContextual"/>
            </w:rPr>
          </w:pPr>
          <w:hyperlink w:anchor="_Toc192499398" w:history="1">
            <w:r w:rsidRPr="00182AB8">
              <w:rPr>
                <w:rStyle w:val="Hyperlink"/>
                <w:noProof/>
              </w:rPr>
              <w:t>2.2 Bar graphs</w:t>
            </w:r>
            <w:r>
              <w:rPr>
                <w:noProof/>
                <w:webHidden/>
              </w:rPr>
              <w:tab/>
            </w:r>
            <w:r>
              <w:rPr>
                <w:noProof/>
                <w:webHidden/>
              </w:rPr>
              <w:fldChar w:fldCharType="begin"/>
            </w:r>
            <w:r>
              <w:rPr>
                <w:noProof/>
                <w:webHidden/>
              </w:rPr>
              <w:instrText xml:space="preserve"> PAGEREF _Toc192499398 \h </w:instrText>
            </w:r>
            <w:r>
              <w:rPr>
                <w:noProof/>
                <w:webHidden/>
              </w:rPr>
            </w:r>
            <w:r>
              <w:rPr>
                <w:noProof/>
                <w:webHidden/>
              </w:rPr>
              <w:fldChar w:fldCharType="separate"/>
            </w:r>
            <w:r>
              <w:rPr>
                <w:noProof/>
                <w:webHidden/>
              </w:rPr>
              <w:t>9</w:t>
            </w:r>
            <w:r>
              <w:rPr>
                <w:noProof/>
                <w:webHidden/>
              </w:rPr>
              <w:fldChar w:fldCharType="end"/>
            </w:r>
          </w:hyperlink>
        </w:p>
        <w:p w14:paraId="219F6838" w14:textId="2F791A0A" w:rsidR="002D5DE0" w:rsidRDefault="002D5DE0">
          <w:pPr>
            <w:pStyle w:val="TOC2"/>
            <w:tabs>
              <w:tab w:val="right" w:leader="dot" w:pos="9016"/>
            </w:tabs>
            <w:rPr>
              <w:rFonts w:cstheme="minorBidi"/>
              <w:b w:val="0"/>
              <w:noProof/>
              <w:color w:val="auto"/>
              <w:kern w:val="2"/>
              <w:sz w:val="24"/>
              <w:szCs w:val="24"/>
              <w:lang w:val="en-AU" w:eastAsia="en-AU"/>
              <w14:ligatures w14:val="standardContextual"/>
            </w:rPr>
          </w:pPr>
          <w:hyperlink w:anchor="_Toc192499399" w:history="1">
            <w:r w:rsidRPr="00182AB8">
              <w:rPr>
                <w:rStyle w:val="Hyperlink"/>
                <w:noProof/>
              </w:rPr>
              <w:t>Appendix 1: Rationale for the exclusion of asset ratios</w:t>
            </w:r>
            <w:r>
              <w:rPr>
                <w:noProof/>
                <w:webHidden/>
              </w:rPr>
              <w:tab/>
            </w:r>
            <w:r>
              <w:rPr>
                <w:noProof/>
                <w:webHidden/>
              </w:rPr>
              <w:fldChar w:fldCharType="begin"/>
            </w:r>
            <w:r>
              <w:rPr>
                <w:noProof/>
                <w:webHidden/>
              </w:rPr>
              <w:instrText xml:space="preserve"> PAGEREF _Toc192499399 \h </w:instrText>
            </w:r>
            <w:r>
              <w:rPr>
                <w:noProof/>
                <w:webHidden/>
              </w:rPr>
            </w:r>
            <w:r>
              <w:rPr>
                <w:noProof/>
                <w:webHidden/>
              </w:rPr>
              <w:fldChar w:fldCharType="separate"/>
            </w:r>
            <w:r>
              <w:rPr>
                <w:noProof/>
                <w:webHidden/>
              </w:rPr>
              <w:t>11</w:t>
            </w:r>
            <w:r>
              <w:rPr>
                <w:noProof/>
                <w:webHidden/>
              </w:rPr>
              <w:fldChar w:fldCharType="end"/>
            </w:r>
          </w:hyperlink>
        </w:p>
        <w:p w14:paraId="7B6DF1F3" w14:textId="5BED3EAB" w:rsidR="002D5DE0" w:rsidRDefault="002D5DE0">
          <w:pPr>
            <w:pStyle w:val="TOC2"/>
            <w:tabs>
              <w:tab w:val="right" w:leader="dot" w:pos="9016"/>
            </w:tabs>
            <w:rPr>
              <w:rFonts w:cstheme="minorBidi"/>
              <w:b w:val="0"/>
              <w:noProof/>
              <w:color w:val="auto"/>
              <w:kern w:val="2"/>
              <w:sz w:val="24"/>
              <w:szCs w:val="24"/>
              <w:lang w:val="en-AU" w:eastAsia="en-AU"/>
              <w14:ligatures w14:val="standardContextual"/>
            </w:rPr>
          </w:pPr>
          <w:hyperlink w:anchor="_Toc192499400" w:history="1">
            <w:r w:rsidRPr="00182AB8">
              <w:rPr>
                <w:rStyle w:val="Hyperlink"/>
                <w:noProof/>
              </w:rPr>
              <w:t>Appendix 2: Basis for calculation of LGFI ratios</w:t>
            </w:r>
            <w:r>
              <w:rPr>
                <w:noProof/>
                <w:webHidden/>
              </w:rPr>
              <w:tab/>
            </w:r>
            <w:r>
              <w:rPr>
                <w:noProof/>
                <w:webHidden/>
              </w:rPr>
              <w:fldChar w:fldCharType="begin"/>
            </w:r>
            <w:r>
              <w:rPr>
                <w:noProof/>
                <w:webHidden/>
              </w:rPr>
              <w:instrText xml:space="preserve"> PAGEREF _Toc192499400 \h </w:instrText>
            </w:r>
            <w:r>
              <w:rPr>
                <w:noProof/>
                <w:webHidden/>
              </w:rPr>
            </w:r>
            <w:r>
              <w:rPr>
                <w:noProof/>
                <w:webHidden/>
              </w:rPr>
              <w:fldChar w:fldCharType="separate"/>
            </w:r>
            <w:r>
              <w:rPr>
                <w:noProof/>
                <w:webHidden/>
              </w:rPr>
              <w:t>12</w:t>
            </w:r>
            <w:r>
              <w:rPr>
                <w:noProof/>
                <w:webHidden/>
              </w:rPr>
              <w:fldChar w:fldCharType="end"/>
            </w:r>
          </w:hyperlink>
        </w:p>
        <w:p w14:paraId="5BC05A6B" w14:textId="43E7EDAA" w:rsidR="00D219FA" w:rsidRDefault="00D219FA">
          <w:r>
            <w:rPr>
              <w:b/>
              <w:bCs/>
              <w:noProof/>
            </w:rPr>
            <w:fldChar w:fldCharType="end"/>
          </w:r>
        </w:p>
      </w:sdtContent>
    </w:sdt>
    <w:p w14:paraId="6B92576E" w14:textId="32874DF9" w:rsidR="00D219FA" w:rsidRDefault="00D219FA">
      <w:pPr>
        <w:spacing w:after="160" w:line="278" w:lineRule="auto"/>
        <w:rPr>
          <w:rFonts w:asciiTheme="minorHAnsi" w:hAnsiTheme="minorHAnsi"/>
          <w:color w:val="000000" w:themeColor="text1"/>
          <w:kern w:val="0"/>
          <w:sz w:val="18"/>
          <w:szCs w:val="20"/>
          <w14:ligatures w14:val="none"/>
        </w:rPr>
      </w:pPr>
      <w:r>
        <w:br w:type="page"/>
      </w:r>
    </w:p>
    <w:p w14:paraId="7F6F066A" w14:textId="77777777" w:rsidR="00D219FA" w:rsidRPr="000007EA" w:rsidRDefault="00D219FA" w:rsidP="00D219FA">
      <w:pPr>
        <w:pStyle w:val="Heading1"/>
      </w:pPr>
      <w:bookmarkStart w:id="0" w:name="_Toc442946963"/>
      <w:bookmarkStart w:id="1" w:name="_Toc188437764"/>
      <w:bookmarkStart w:id="2" w:name="_Toc192499385"/>
      <w:r w:rsidRPr="00291064">
        <w:lastRenderedPageBreak/>
        <w:t>Introduction</w:t>
      </w:r>
      <w:bookmarkEnd w:id="0"/>
      <w:bookmarkEnd w:id="1"/>
      <w:bookmarkEnd w:id="2"/>
    </w:p>
    <w:p w14:paraId="61560D09" w14:textId="77777777" w:rsidR="00D219FA" w:rsidRPr="00D219FA" w:rsidRDefault="00D219FA" w:rsidP="00D219FA">
      <w:r w:rsidRPr="00D219FA">
        <w:t>The new Local Government Financial Indicator (LGFI) is the result of several years of work and is a replacement to the previously reported Financial Health Indicator (FHI). The need for a review was determined based on sector feedback and changes to local government accounting requirements.</w:t>
      </w:r>
    </w:p>
    <w:p w14:paraId="3D3F0E47" w14:textId="77777777" w:rsidR="00D219FA" w:rsidRPr="00D219FA" w:rsidRDefault="00D219FA" w:rsidP="00D219FA">
      <w:r w:rsidRPr="00D219FA">
        <w:t xml:space="preserve">The LGFI has been designed to provide community members, stakeholders and the Department of Local Government, Sport and Cultural Industries (DLGSC) with at-a-glance insights to local government financial performance.  It will allow local governments (LGs) and community members to have greater insights into local government performance against the four key financial ratios, allow for interpretation of results, the ability to track change over time, solicit and gain feedback from local government on ratio/financial performance and compare local government results against each other. </w:t>
      </w:r>
    </w:p>
    <w:p w14:paraId="371384DF" w14:textId="77777777" w:rsidR="00D219FA" w:rsidRPr="00D219FA" w:rsidRDefault="00D219FA" w:rsidP="00D219FA">
      <w:r w:rsidRPr="00D219FA">
        <w:t>It must be noted however, that unlike the FHI, the LGFI does NOT attempt to assess a local government’s financial sustainability (its financial capacity to fund maintenance and asset renewal as infrastructure reaches the end of useful life). It was agreed when developing the new LGFI, that the LGFI would exclude ratios seeking to measure asset renewal and replacement. This results in an inability of the LGFI to assess sustainability which is deemed to be a key element to determining the financial health of an LG.</w:t>
      </w:r>
    </w:p>
    <w:p w14:paraId="02DD3901" w14:textId="77777777" w:rsidR="00D219FA" w:rsidRPr="00D219FA" w:rsidRDefault="00D219FA" w:rsidP="00D219FA">
      <w:r w:rsidRPr="00D219FA">
        <w:t>This document is provided as a guide, outlining the detail underpinning the project and process and the underpinning calculations for the LGFI.</w:t>
      </w:r>
    </w:p>
    <w:p w14:paraId="7BE0949B" w14:textId="77777777" w:rsidR="00D219FA" w:rsidRDefault="00D219FA" w:rsidP="00D219FA">
      <w:pPr>
        <w:rPr>
          <w:rFonts w:asciiTheme="majorHAnsi" w:eastAsiaTheme="majorEastAsia" w:hAnsiTheme="majorHAnsi" w:cstheme="majorBidi"/>
          <w:color w:val="0F4761" w:themeColor="accent1" w:themeShade="BF"/>
          <w:sz w:val="32"/>
          <w:szCs w:val="32"/>
          <w:lang w:eastAsia="en-AU"/>
        </w:rPr>
      </w:pPr>
      <w:r>
        <w:rPr>
          <w:lang w:eastAsia="en-AU"/>
        </w:rPr>
        <w:br w:type="page"/>
      </w:r>
    </w:p>
    <w:p w14:paraId="71B1F5D2" w14:textId="77777777" w:rsidR="00D219FA" w:rsidRDefault="00D219FA" w:rsidP="00D219FA">
      <w:pPr>
        <w:pStyle w:val="Heading1"/>
      </w:pPr>
      <w:bookmarkStart w:id="3" w:name="_Toc188437765"/>
      <w:bookmarkStart w:id="4" w:name="_Toc192499386"/>
      <w:r>
        <w:lastRenderedPageBreak/>
        <w:t>1.0 Design and Calculation of the Local Government Financial Indicator</w:t>
      </w:r>
      <w:bookmarkEnd w:id="3"/>
      <w:bookmarkEnd w:id="4"/>
    </w:p>
    <w:p w14:paraId="53305F44" w14:textId="378032CE" w:rsidR="00D219FA" w:rsidRDefault="00D219FA" w:rsidP="00D219FA">
      <w:pPr>
        <w:pStyle w:val="Heading2"/>
      </w:pPr>
      <w:bookmarkStart w:id="5" w:name="_Toc188437766"/>
      <w:bookmarkStart w:id="6" w:name="_Toc192499387"/>
      <w:r>
        <w:t xml:space="preserve">1.1 LGFI </w:t>
      </w:r>
      <w:r w:rsidR="0004025A">
        <w:t>d</w:t>
      </w:r>
      <w:r>
        <w:t>esign</w:t>
      </w:r>
      <w:bookmarkEnd w:id="5"/>
      <w:bookmarkEnd w:id="6"/>
    </w:p>
    <w:p w14:paraId="01C395CA" w14:textId="77777777" w:rsidR="00D219FA" w:rsidRPr="00D219FA" w:rsidRDefault="00D219FA" w:rsidP="00D219FA">
      <w:r w:rsidRPr="00D219FA">
        <w:t xml:space="preserve">The new LGFI was developed by the Western Australian Treasury Corporation (WATC) on behalf of the DLGSC. The design was led by a steering panel consisting of DLGSC, WATC, the WA Local Government Association, LG Professionals WA, Ron Back and Associates and a representative cohort of local governments (collectively, the Steering Group). </w:t>
      </w:r>
    </w:p>
    <w:p w14:paraId="475610F1" w14:textId="77777777" w:rsidR="00D219FA" w:rsidRPr="00D219FA" w:rsidRDefault="00D219FA" w:rsidP="00D219FA">
      <w:r w:rsidRPr="00D219FA">
        <w:t>The Steering Panel determined that the LGFI should be calculated based on the four ratios on which the WALGA Financial Ratios Working Group had previously reached agreement as being the desired basis for evaluation of LG financial performance. These four ratios are:</w:t>
      </w:r>
    </w:p>
    <w:p w14:paraId="4BD4CDFC" w14:textId="77777777" w:rsidR="00D219FA" w:rsidRPr="00D219FA" w:rsidRDefault="00D219FA" w:rsidP="00D219FA">
      <w:pPr>
        <w:pStyle w:val="Listnumber111"/>
        <w:numPr>
          <w:ilvl w:val="0"/>
          <w:numId w:val="41"/>
        </w:numPr>
        <w:tabs>
          <w:tab w:val="clear" w:pos="1418"/>
          <w:tab w:val="num" w:pos="709"/>
        </w:tabs>
        <w:ind w:left="709"/>
      </w:pPr>
      <w:r w:rsidRPr="00D219FA">
        <w:t xml:space="preserve">Current </w:t>
      </w:r>
      <w:proofErr w:type="gramStart"/>
      <w:r w:rsidRPr="00D219FA">
        <w:t>ratio;</w:t>
      </w:r>
      <w:proofErr w:type="gramEnd"/>
    </w:p>
    <w:p w14:paraId="3DEF249F" w14:textId="77777777" w:rsidR="00D219FA" w:rsidRPr="00D219FA" w:rsidRDefault="00D219FA" w:rsidP="00D219FA">
      <w:pPr>
        <w:pStyle w:val="Listnumber111"/>
        <w:tabs>
          <w:tab w:val="clear" w:pos="1418"/>
          <w:tab w:val="num" w:pos="709"/>
        </w:tabs>
        <w:ind w:left="709"/>
      </w:pPr>
      <w:r w:rsidRPr="00D219FA">
        <w:t xml:space="preserve">Debt service coverage </w:t>
      </w:r>
      <w:proofErr w:type="gramStart"/>
      <w:r w:rsidRPr="00D219FA">
        <w:t>ratio;</w:t>
      </w:r>
      <w:proofErr w:type="gramEnd"/>
    </w:p>
    <w:p w14:paraId="1A5CCD11" w14:textId="77777777" w:rsidR="00D219FA" w:rsidRPr="00D219FA" w:rsidRDefault="00D219FA" w:rsidP="00D219FA">
      <w:pPr>
        <w:pStyle w:val="Listnumber111"/>
        <w:tabs>
          <w:tab w:val="clear" w:pos="1418"/>
          <w:tab w:val="num" w:pos="709"/>
        </w:tabs>
        <w:ind w:left="709"/>
      </w:pPr>
      <w:r w:rsidRPr="00D219FA">
        <w:t>Operating surplus ratio; and</w:t>
      </w:r>
    </w:p>
    <w:p w14:paraId="7533CED4" w14:textId="77777777" w:rsidR="00D219FA" w:rsidRDefault="00D219FA" w:rsidP="00D219FA">
      <w:pPr>
        <w:pStyle w:val="Listnumber111"/>
        <w:tabs>
          <w:tab w:val="clear" w:pos="1418"/>
          <w:tab w:val="num" w:pos="709"/>
        </w:tabs>
        <w:ind w:left="709"/>
      </w:pPr>
      <w:r w:rsidRPr="00D219FA">
        <w:t>Net liabilities ratio.</w:t>
      </w:r>
    </w:p>
    <w:p w14:paraId="6BD64F32" w14:textId="77777777" w:rsidR="00D219FA" w:rsidRPr="00D219FA" w:rsidRDefault="00D219FA" w:rsidP="00D219FA">
      <w:pPr>
        <w:pStyle w:val="Listnumber111"/>
        <w:numPr>
          <w:ilvl w:val="0"/>
          <w:numId w:val="0"/>
        </w:numPr>
      </w:pPr>
    </w:p>
    <w:p w14:paraId="5F928A0F" w14:textId="77777777" w:rsidR="00D219FA" w:rsidRPr="00D219FA" w:rsidRDefault="00D219FA" w:rsidP="00D219FA">
      <w:r w:rsidRPr="00D219FA">
        <w:t>The four ratios provide point-in-time insights to a local government’s ability to:</w:t>
      </w:r>
    </w:p>
    <w:p w14:paraId="13C742C9" w14:textId="77777777" w:rsidR="00D219FA" w:rsidRPr="00D219FA" w:rsidRDefault="00D219FA" w:rsidP="00D219FA">
      <w:pPr>
        <w:pStyle w:val="Listbullet"/>
      </w:pPr>
      <w:r w:rsidRPr="00D219FA">
        <w:t xml:space="preserve">meet its </w:t>
      </w:r>
      <w:proofErr w:type="gramStart"/>
      <w:r w:rsidRPr="00D219FA">
        <w:t>short term</w:t>
      </w:r>
      <w:proofErr w:type="gramEnd"/>
      <w:r w:rsidRPr="00D219FA">
        <w:t xml:space="preserve"> financial obligations (Liquidity);</w:t>
      </w:r>
      <w:r w:rsidRPr="00D219FA">
        <w:tab/>
      </w:r>
      <w:r w:rsidRPr="00D219FA">
        <w:tab/>
      </w:r>
    </w:p>
    <w:p w14:paraId="5E59CA9F" w14:textId="77777777" w:rsidR="00D219FA" w:rsidRPr="00D219FA" w:rsidRDefault="00D219FA" w:rsidP="00D219FA">
      <w:pPr>
        <w:pStyle w:val="Listbullet"/>
      </w:pPr>
      <w:r w:rsidRPr="00D219FA">
        <w:t xml:space="preserve">fund its </w:t>
      </w:r>
      <w:proofErr w:type="gramStart"/>
      <w:r w:rsidRPr="00D219FA">
        <w:t>longer term</w:t>
      </w:r>
      <w:proofErr w:type="gramEnd"/>
      <w:r w:rsidRPr="00D219FA">
        <w:t xml:space="preserve"> financial obligations (Solvency); and</w:t>
      </w:r>
      <w:r w:rsidRPr="00D219FA">
        <w:tab/>
      </w:r>
      <w:r w:rsidRPr="00D219FA">
        <w:tab/>
      </w:r>
    </w:p>
    <w:p w14:paraId="35BF190B" w14:textId="77777777" w:rsidR="00D219FA" w:rsidRPr="00D219FA" w:rsidRDefault="00D219FA" w:rsidP="00D219FA">
      <w:pPr>
        <w:pStyle w:val="Listbullet"/>
      </w:pPr>
      <w:r w:rsidRPr="00D219FA">
        <w:t>access funding (either internal or external) to deliver services and maintain infrastructure (Financial Flexibility).</w:t>
      </w:r>
    </w:p>
    <w:p w14:paraId="7F308852" w14:textId="77777777" w:rsidR="00D219FA" w:rsidRPr="00AE2C7A" w:rsidRDefault="00D219FA" w:rsidP="00D219FA">
      <w:pPr>
        <w:spacing w:line="300" w:lineRule="auto"/>
        <w:jc w:val="both"/>
        <w:rPr>
          <w:rFonts w:cs="Arial"/>
          <w:b/>
          <w:bCs/>
        </w:rPr>
      </w:pPr>
      <w:r w:rsidRPr="00AE2C7A">
        <w:rPr>
          <w:rFonts w:cs="Arial"/>
          <w:b/>
          <w:bCs/>
        </w:rPr>
        <w:t xml:space="preserve">Table 1: </w:t>
      </w:r>
      <w:r w:rsidRPr="004D0A15">
        <w:rPr>
          <w:rFonts w:cs="Arial"/>
        </w:rPr>
        <w:t>LGFI Ratios</w:t>
      </w:r>
    </w:p>
    <w:tbl>
      <w:tblPr>
        <w:tblStyle w:val="TableGrid"/>
        <w:tblW w:w="9745" w:type="dxa"/>
        <w:jc w:val="center"/>
        <w:tblLook w:val="04A0" w:firstRow="1" w:lastRow="0" w:firstColumn="1" w:lastColumn="0" w:noHBand="0" w:noVBand="1"/>
      </w:tblPr>
      <w:tblGrid>
        <w:gridCol w:w="421"/>
        <w:gridCol w:w="1701"/>
        <w:gridCol w:w="3767"/>
        <w:gridCol w:w="1521"/>
        <w:gridCol w:w="2335"/>
      </w:tblGrid>
      <w:tr w:rsidR="00D219FA" w:rsidRPr="003E3FC4" w14:paraId="27C4EEB8" w14:textId="77777777" w:rsidTr="002B0F76">
        <w:trPr>
          <w:trHeight w:val="557"/>
          <w:jc w:val="center"/>
        </w:trPr>
        <w:tc>
          <w:tcPr>
            <w:tcW w:w="421" w:type="dxa"/>
          </w:tcPr>
          <w:p w14:paraId="03EA9D04" w14:textId="77777777" w:rsidR="00D219FA" w:rsidRPr="003E3FC4" w:rsidRDefault="00D219FA" w:rsidP="002B0F76">
            <w:pPr>
              <w:spacing w:line="300" w:lineRule="auto"/>
              <w:jc w:val="both"/>
              <w:rPr>
                <w:rFonts w:cs="Arial"/>
                <w:b/>
                <w:bCs/>
                <w:sz w:val="21"/>
                <w:szCs w:val="21"/>
              </w:rPr>
            </w:pPr>
            <w:r w:rsidRPr="003E3FC4">
              <w:rPr>
                <w:rFonts w:cs="Arial"/>
                <w:b/>
                <w:bCs/>
                <w:sz w:val="21"/>
                <w:szCs w:val="21"/>
              </w:rPr>
              <w:t>#</w:t>
            </w:r>
          </w:p>
        </w:tc>
        <w:tc>
          <w:tcPr>
            <w:tcW w:w="1701" w:type="dxa"/>
          </w:tcPr>
          <w:p w14:paraId="5A96533B" w14:textId="77777777" w:rsidR="00D219FA" w:rsidRPr="003E3FC4" w:rsidRDefault="00D219FA" w:rsidP="002B0F76">
            <w:pPr>
              <w:spacing w:line="300" w:lineRule="auto"/>
              <w:jc w:val="both"/>
              <w:rPr>
                <w:rFonts w:cs="Arial"/>
                <w:b/>
                <w:bCs/>
                <w:sz w:val="21"/>
                <w:szCs w:val="21"/>
              </w:rPr>
            </w:pPr>
            <w:r w:rsidRPr="003E3FC4">
              <w:rPr>
                <w:rFonts w:cs="Arial"/>
                <w:b/>
                <w:bCs/>
                <w:sz w:val="21"/>
                <w:szCs w:val="21"/>
              </w:rPr>
              <w:t>Ratio Name</w:t>
            </w:r>
          </w:p>
        </w:tc>
        <w:tc>
          <w:tcPr>
            <w:tcW w:w="3767" w:type="dxa"/>
          </w:tcPr>
          <w:p w14:paraId="5403E1CA" w14:textId="77777777" w:rsidR="00D219FA" w:rsidRPr="003E3FC4" w:rsidRDefault="00D219FA" w:rsidP="002B0F76">
            <w:pPr>
              <w:spacing w:line="300" w:lineRule="auto"/>
              <w:jc w:val="both"/>
              <w:rPr>
                <w:rFonts w:cs="Arial"/>
                <w:b/>
                <w:bCs/>
                <w:sz w:val="21"/>
                <w:szCs w:val="21"/>
              </w:rPr>
            </w:pPr>
            <w:r>
              <w:rPr>
                <w:rFonts w:cs="Arial"/>
                <w:b/>
                <w:bCs/>
                <w:sz w:val="21"/>
                <w:szCs w:val="21"/>
              </w:rPr>
              <w:t>Ratio Use</w:t>
            </w:r>
          </w:p>
        </w:tc>
        <w:tc>
          <w:tcPr>
            <w:tcW w:w="1521" w:type="dxa"/>
          </w:tcPr>
          <w:p w14:paraId="33F9D6AE" w14:textId="77777777" w:rsidR="00D219FA" w:rsidRPr="003E3FC4" w:rsidRDefault="00D219FA" w:rsidP="002B0F76">
            <w:pPr>
              <w:spacing w:line="300" w:lineRule="auto"/>
              <w:jc w:val="both"/>
              <w:rPr>
                <w:rFonts w:cs="Arial"/>
                <w:b/>
                <w:bCs/>
                <w:sz w:val="21"/>
                <w:szCs w:val="21"/>
              </w:rPr>
            </w:pPr>
            <w:r w:rsidRPr="003E3FC4">
              <w:rPr>
                <w:rFonts w:cs="Arial"/>
                <w:b/>
                <w:bCs/>
                <w:sz w:val="21"/>
                <w:szCs w:val="21"/>
              </w:rPr>
              <w:t>Numerator/</w:t>
            </w:r>
            <w:r w:rsidRPr="003E3FC4">
              <w:rPr>
                <w:rFonts w:cs="Arial"/>
                <w:b/>
                <w:bCs/>
                <w:sz w:val="21"/>
                <w:szCs w:val="21"/>
              </w:rPr>
              <w:br/>
              <w:t>Denominator</w:t>
            </w:r>
          </w:p>
        </w:tc>
        <w:tc>
          <w:tcPr>
            <w:tcW w:w="2335" w:type="dxa"/>
          </w:tcPr>
          <w:p w14:paraId="12AD91F4" w14:textId="77777777" w:rsidR="00D219FA" w:rsidRPr="003E3FC4" w:rsidRDefault="00D219FA" w:rsidP="002B0F76">
            <w:pPr>
              <w:spacing w:line="300" w:lineRule="auto"/>
              <w:jc w:val="both"/>
              <w:rPr>
                <w:rFonts w:cs="Arial"/>
                <w:b/>
                <w:bCs/>
                <w:sz w:val="21"/>
                <w:szCs w:val="21"/>
              </w:rPr>
            </w:pPr>
            <w:r w:rsidRPr="003E3FC4">
              <w:rPr>
                <w:rFonts w:cs="Arial"/>
                <w:b/>
                <w:bCs/>
                <w:sz w:val="21"/>
                <w:szCs w:val="21"/>
              </w:rPr>
              <w:t>Formula</w:t>
            </w:r>
          </w:p>
        </w:tc>
      </w:tr>
      <w:tr w:rsidR="00D219FA" w:rsidRPr="003E3FC4" w14:paraId="5BF4EF3B" w14:textId="77777777" w:rsidTr="002B0F76">
        <w:trPr>
          <w:jc w:val="center"/>
        </w:trPr>
        <w:tc>
          <w:tcPr>
            <w:tcW w:w="421" w:type="dxa"/>
            <w:vMerge w:val="restart"/>
            <w:shd w:val="clear" w:color="auto" w:fill="3A3A3A" w:themeFill="background2" w:themeFillShade="40"/>
          </w:tcPr>
          <w:p w14:paraId="4906E1B5" w14:textId="77777777" w:rsidR="00D219FA" w:rsidRPr="003E3FC4" w:rsidRDefault="00D219FA" w:rsidP="002B0F76">
            <w:pPr>
              <w:spacing w:line="300" w:lineRule="auto"/>
              <w:jc w:val="both"/>
              <w:rPr>
                <w:rFonts w:cs="Arial"/>
                <w:b/>
                <w:bCs/>
                <w:sz w:val="21"/>
                <w:szCs w:val="21"/>
              </w:rPr>
            </w:pPr>
            <w:r w:rsidRPr="003E3FC4">
              <w:rPr>
                <w:rFonts w:cs="Arial"/>
                <w:b/>
                <w:bCs/>
                <w:sz w:val="21"/>
                <w:szCs w:val="21"/>
              </w:rPr>
              <w:t>1</w:t>
            </w:r>
          </w:p>
        </w:tc>
        <w:tc>
          <w:tcPr>
            <w:tcW w:w="1701" w:type="dxa"/>
            <w:vMerge w:val="restart"/>
            <w:shd w:val="clear" w:color="auto" w:fill="3A3A3A" w:themeFill="background2" w:themeFillShade="40"/>
          </w:tcPr>
          <w:p w14:paraId="280DC6EE" w14:textId="77777777" w:rsidR="00D219FA" w:rsidRPr="003E3FC4" w:rsidRDefault="00D219FA" w:rsidP="002B0F76">
            <w:pPr>
              <w:spacing w:line="300" w:lineRule="auto"/>
              <w:jc w:val="both"/>
              <w:rPr>
                <w:rFonts w:cs="Arial"/>
                <w:b/>
                <w:bCs/>
                <w:sz w:val="21"/>
                <w:szCs w:val="21"/>
              </w:rPr>
            </w:pPr>
            <w:r w:rsidRPr="003E3FC4">
              <w:rPr>
                <w:rFonts w:cs="Arial"/>
                <w:b/>
                <w:bCs/>
                <w:sz w:val="21"/>
                <w:szCs w:val="21"/>
              </w:rPr>
              <w:t>Current Ratio</w:t>
            </w:r>
          </w:p>
        </w:tc>
        <w:tc>
          <w:tcPr>
            <w:tcW w:w="3767" w:type="dxa"/>
            <w:vMerge w:val="restart"/>
          </w:tcPr>
          <w:p w14:paraId="33955AB3" w14:textId="77777777" w:rsidR="00D219FA" w:rsidRPr="003E3FC4" w:rsidRDefault="00D219FA" w:rsidP="002B0F76">
            <w:pPr>
              <w:spacing w:line="300" w:lineRule="auto"/>
              <w:jc w:val="both"/>
              <w:rPr>
                <w:rFonts w:cs="Arial"/>
                <w:sz w:val="21"/>
                <w:szCs w:val="21"/>
              </w:rPr>
            </w:pPr>
            <w:r w:rsidRPr="00F26D79">
              <w:rPr>
                <w:rFonts w:cs="Arial"/>
              </w:rPr>
              <w:t xml:space="preserve">Measurement of an LG’s liquidity and its ability to meet its short-term financial obligations. </w:t>
            </w:r>
          </w:p>
        </w:tc>
        <w:tc>
          <w:tcPr>
            <w:tcW w:w="1521" w:type="dxa"/>
          </w:tcPr>
          <w:p w14:paraId="03C54E63" w14:textId="77777777" w:rsidR="00D219FA" w:rsidRPr="003E3FC4" w:rsidRDefault="00D219FA" w:rsidP="002B0F76">
            <w:pPr>
              <w:spacing w:line="300" w:lineRule="auto"/>
              <w:jc w:val="both"/>
              <w:rPr>
                <w:rFonts w:cs="Arial"/>
                <w:sz w:val="21"/>
                <w:szCs w:val="21"/>
              </w:rPr>
            </w:pPr>
            <w:r w:rsidRPr="003E3FC4">
              <w:rPr>
                <w:rFonts w:cs="Arial"/>
                <w:sz w:val="21"/>
                <w:szCs w:val="21"/>
              </w:rPr>
              <w:t>Numerator</w:t>
            </w:r>
          </w:p>
        </w:tc>
        <w:tc>
          <w:tcPr>
            <w:tcW w:w="2335" w:type="dxa"/>
            <w:shd w:val="clear" w:color="auto" w:fill="D1D1D1" w:themeFill="background2" w:themeFillShade="E6"/>
          </w:tcPr>
          <w:p w14:paraId="435CD8C6" w14:textId="77777777" w:rsidR="00D219FA" w:rsidRPr="003E3FC4" w:rsidRDefault="00D219FA" w:rsidP="002B0F76">
            <w:pPr>
              <w:spacing w:line="300" w:lineRule="auto"/>
              <w:jc w:val="both"/>
              <w:rPr>
                <w:rFonts w:cs="Arial"/>
                <w:sz w:val="21"/>
                <w:szCs w:val="21"/>
              </w:rPr>
            </w:pPr>
            <w:r w:rsidRPr="003E3FC4">
              <w:rPr>
                <w:rFonts w:cs="Arial"/>
                <w:sz w:val="21"/>
                <w:szCs w:val="21"/>
              </w:rPr>
              <w:t>Current Assets</w:t>
            </w:r>
          </w:p>
        </w:tc>
      </w:tr>
      <w:tr w:rsidR="00D219FA" w:rsidRPr="003E3FC4" w14:paraId="42922264" w14:textId="77777777" w:rsidTr="002B0F76">
        <w:trPr>
          <w:jc w:val="center"/>
        </w:trPr>
        <w:tc>
          <w:tcPr>
            <w:tcW w:w="421" w:type="dxa"/>
            <w:vMerge/>
            <w:shd w:val="clear" w:color="auto" w:fill="3A3A3A" w:themeFill="background2" w:themeFillShade="40"/>
          </w:tcPr>
          <w:p w14:paraId="5E8A9953" w14:textId="77777777" w:rsidR="00D219FA" w:rsidRPr="003E3FC4" w:rsidRDefault="00D219FA" w:rsidP="002B0F76">
            <w:pPr>
              <w:spacing w:line="300" w:lineRule="auto"/>
              <w:jc w:val="both"/>
              <w:rPr>
                <w:rFonts w:cs="Arial"/>
                <w:b/>
                <w:bCs/>
                <w:sz w:val="21"/>
                <w:szCs w:val="21"/>
              </w:rPr>
            </w:pPr>
          </w:p>
        </w:tc>
        <w:tc>
          <w:tcPr>
            <w:tcW w:w="1701" w:type="dxa"/>
            <w:vMerge/>
            <w:shd w:val="clear" w:color="auto" w:fill="3A3A3A" w:themeFill="background2" w:themeFillShade="40"/>
          </w:tcPr>
          <w:p w14:paraId="0628FEC4" w14:textId="77777777" w:rsidR="00D219FA" w:rsidRPr="003E3FC4" w:rsidRDefault="00D219FA" w:rsidP="002B0F76">
            <w:pPr>
              <w:spacing w:line="300" w:lineRule="auto"/>
              <w:jc w:val="both"/>
              <w:rPr>
                <w:rFonts w:cs="Arial"/>
                <w:b/>
                <w:bCs/>
                <w:sz w:val="21"/>
                <w:szCs w:val="21"/>
              </w:rPr>
            </w:pPr>
          </w:p>
        </w:tc>
        <w:tc>
          <w:tcPr>
            <w:tcW w:w="3767" w:type="dxa"/>
            <w:vMerge/>
          </w:tcPr>
          <w:p w14:paraId="6DC2511C" w14:textId="77777777" w:rsidR="00D219FA" w:rsidRPr="003E3FC4" w:rsidRDefault="00D219FA" w:rsidP="002B0F76">
            <w:pPr>
              <w:spacing w:line="300" w:lineRule="auto"/>
              <w:jc w:val="both"/>
              <w:rPr>
                <w:rFonts w:cs="Arial"/>
                <w:sz w:val="21"/>
                <w:szCs w:val="21"/>
              </w:rPr>
            </w:pPr>
          </w:p>
        </w:tc>
        <w:tc>
          <w:tcPr>
            <w:tcW w:w="1521" w:type="dxa"/>
          </w:tcPr>
          <w:p w14:paraId="52AE89F2" w14:textId="77777777" w:rsidR="00D219FA" w:rsidRPr="003E3FC4" w:rsidRDefault="00D219FA" w:rsidP="002B0F76">
            <w:pPr>
              <w:spacing w:line="300" w:lineRule="auto"/>
              <w:jc w:val="both"/>
              <w:rPr>
                <w:rFonts w:cs="Arial"/>
                <w:sz w:val="21"/>
                <w:szCs w:val="21"/>
              </w:rPr>
            </w:pPr>
            <w:r w:rsidRPr="003E3FC4">
              <w:rPr>
                <w:rFonts w:cs="Arial"/>
                <w:sz w:val="21"/>
                <w:szCs w:val="21"/>
              </w:rPr>
              <w:t>Denominator</w:t>
            </w:r>
          </w:p>
        </w:tc>
        <w:tc>
          <w:tcPr>
            <w:tcW w:w="2335" w:type="dxa"/>
            <w:shd w:val="clear" w:color="auto" w:fill="747474" w:themeFill="background2" w:themeFillShade="80"/>
          </w:tcPr>
          <w:p w14:paraId="0CEEDC9D" w14:textId="77777777" w:rsidR="00D219FA" w:rsidRPr="003E3FC4" w:rsidRDefault="00D219FA" w:rsidP="002B0F76">
            <w:pPr>
              <w:spacing w:line="300" w:lineRule="auto"/>
              <w:jc w:val="both"/>
              <w:rPr>
                <w:rFonts w:cs="Arial"/>
                <w:sz w:val="21"/>
                <w:szCs w:val="21"/>
              </w:rPr>
            </w:pPr>
            <w:r w:rsidRPr="003E3FC4">
              <w:rPr>
                <w:rFonts w:cs="Arial"/>
                <w:sz w:val="21"/>
                <w:szCs w:val="21"/>
              </w:rPr>
              <w:t>Current Liabilities</w:t>
            </w:r>
          </w:p>
        </w:tc>
      </w:tr>
      <w:tr w:rsidR="00D219FA" w:rsidRPr="003E3FC4" w14:paraId="669B52B0" w14:textId="77777777" w:rsidTr="002B0F76">
        <w:trPr>
          <w:jc w:val="center"/>
        </w:trPr>
        <w:tc>
          <w:tcPr>
            <w:tcW w:w="421" w:type="dxa"/>
            <w:vMerge w:val="restart"/>
            <w:shd w:val="clear" w:color="auto" w:fill="77206D" w:themeFill="accent5" w:themeFillShade="BF"/>
          </w:tcPr>
          <w:p w14:paraId="7B3E285F" w14:textId="77777777" w:rsidR="00D219FA" w:rsidRPr="003E3FC4" w:rsidRDefault="00D219FA" w:rsidP="002B0F76">
            <w:pPr>
              <w:spacing w:line="300" w:lineRule="auto"/>
              <w:jc w:val="both"/>
              <w:rPr>
                <w:rFonts w:cs="Arial"/>
                <w:b/>
                <w:bCs/>
                <w:color w:val="FFFFFF" w:themeColor="background1"/>
                <w:sz w:val="21"/>
                <w:szCs w:val="21"/>
              </w:rPr>
            </w:pPr>
            <w:r w:rsidRPr="003E3FC4">
              <w:rPr>
                <w:rFonts w:cs="Arial"/>
                <w:b/>
                <w:bCs/>
                <w:color w:val="FFFFFF" w:themeColor="background1"/>
                <w:sz w:val="21"/>
                <w:szCs w:val="21"/>
              </w:rPr>
              <w:t>2</w:t>
            </w:r>
          </w:p>
        </w:tc>
        <w:tc>
          <w:tcPr>
            <w:tcW w:w="1701" w:type="dxa"/>
            <w:vMerge w:val="restart"/>
            <w:shd w:val="clear" w:color="auto" w:fill="77206D" w:themeFill="accent5" w:themeFillShade="BF"/>
          </w:tcPr>
          <w:p w14:paraId="1A9FC0BF" w14:textId="77777777" w:rsidR="00D219FA" w:rsidRPr="003E3FC4" w:rsidRDefault="00D219FA" w:rsidP="002B0F76">
            <w:pPr>
              <w:spacing w:line="300" w:lineRule="auto"/>
              <w:jc w:val="both"/>
              <w:rPr>
                <w:rFonts w:cs="Arial"/>
                <w:b/>
                <w:bCs/>
                <w:color w:val="FFFFFF" w:themeColor="background1"/>
                <w:sz w:val="21"/>
                <w:szCs w:val="21"/>
              </w:rPr>
            </w:pPr>
            <w:r w:rsidRPr="003E3FC4">
              <w:rPr>
                <w:rFonts w:cs="Arial"/>
                <w:b/>
                <w:bCs/>
                <w:color w:val="FFFFFF" w:themeColor="background1"/>
                <w:sz w:val="21"/>
                <w:szCs w:val="21"/>
              </w:rPr>
              <w:t>Debt Service Coverage Ratio</w:t>
            </w:r>
          </w:p>
        </w:tc>
        <w:tc>
          <w:tcPr>
            <w:tcW w:w="3767" w:type="dxa"/>
            <w:vMerge w:val="restart"/>
          </w:tcPr>
          <w:p w14:paraId="7DB21927" w14:textId="77777777" w:rsidR="00D219FA" w:rsidRPr="003E3FC4" w:rsidRDefault="00D219FA" w:rsidP="002B0F76">
            <w:pPr>
              <w:spacing w:line="300" w:lineRule="auto"/>
              <w:jc w:val="both"/>
              <w:rPr>
                <w:rFonts w:cs="Arial"/>
                <w:sz w:val="21"/>
                <w:szCs w:val="21"/>
              </w:rPr>
            </w:pPr>
            <w:r w:rsidRPr="00F26D79">
              <w:rPr>
                <w:rFonts w:cs="Arial"/>
              </w:rPr>
              <w:t xml:space="preserve">Measurement of an LG’s ability to </w:t>
            </w:r>
            <w:r>
              <w:rPr>
                <w:rFonts w:cs="Arial"/>
              </w:rPr>
              <w:t>service</w:t>
            </w:r>
            <w:r w:rsidRPr="00F26D79">
              <w:rPr>
                <w:rFonts w:cs="Arial"/>
              </w:rPr>
              <w:t xml:space="preserve"> its debt (including lease obligations). </w:t>
            </w:r>
          </w:p>
        </w:tc>
        <w:tc>
          <w:tcPr>
            <w:tcW w:w="1521" w:type="dxa"/>
          </w:tcPr>
          <w:p w14:paraId="347BEF18" w14:textId="77777777" w:rsidR="00D219FA" w:rsidRPr="003E3FC4" w:rsidRDefault="00D219FA" w:rsidP="002B0F76">
            <w:pPr>
              <w:spacing w:line="300" w:lineRule="auto"/>
              <w:jc w:val="both"/>
              <w:rPr>
                <w:rFonts w:cs="Arial"/>
                <w:sz w:val="21"/>
                <w:szCs w:val="21"/>
              </w:rPr>
            </w:pPr>
            <w:r w:rsidRPr="003E3FC4">
              <w:rPr>
                <w:rFonts w:cs="Arial"/>
                <w:sz w:val="21"/>
                <w:szCs w:val="21"/>
              </w:rPr>
              <w:t>Numerator</w:t>
            </w:r>
          </w:p>
        </w:tc>
        <w:tc>
          <w:tcPr>
            <w:tcW w:w="2335" w:type="dxa"/>
            <w:shd w:val="clear" w:color="auto" w:fill="F2CEED" w:themeFill="accent5" w:themeFillTint="33"/>
          </w:tcPr>
          <w:p w14:paraId="1190445D" w14:textId="77777777" w:rsidR="00D219FA" w:rsidRPr="003E3FC4" w:rsidRDefault="00D219FA" w:rsidP="002B0F76">
            <w:pPr>
              <w:spacing w:line="300" w:lineRule="auto"/>
              <w:jc w:val="both"/>
              <w:rPr>
                <w:rFonts w:cs="Arial"/>
                <w:sz w:val="21"/>
                <w:szCs w:val="21"/>
              </w:rPr>
            </w:pPr>
            <w:r w:rsidRPr="003E3FC4">
              <w:rPr>
                <w:sz w:val="21"/>
                <w:szCs w:val="21"/>
              </w:rPr>
              <w:t>Adjusted Operating Surplus w/exclusions</w:t>
            </w:r>
          </w:p>
        </w:tc>
      </w:tr>
      <w:tr w:rsidR="00D219FA" w:rsidRPr="003E3FC4" w14:paraId="4DC7F41C" w14:textId="77777777" w:rsidTr="002B0F76">
        <w:trPr>
          <w:jc w:val="center"/>
        </w:trPr>
        <w:tc>
          <w:tcPr>
            <w:tcW w:w="421" w:type="dxa"/>
            <w:vMerge/>
            <w:shd w:val="clear" w:color="auto" w:fill="77206D" w:themeFill="accent5" w:themeFillShade="BF"/>
          </w:tcPr>
          <w:p w14:paraId="6FC01EE6" w14:textId="77777777" w:rsidR="00D219FA" w:rsidRPr="003E3FC4" w:rsidRDefault="00D219FA" w:rsidP="002B0F76">
            <w:pPr>
              <w:spacing w:line="300" w:lineRule="auto"/>
              <w:jc w:val="both"/>
              <w:rPr>
                <w:rFonts w:cs="Arial"/>
                <w:b/>
                <w:bCs/>
                <w:color w:val="FFFFFF" w:themeColor="background1"/>
                <w:sz w:val="21"/>
                <w:szCs w:val="21"/>
              </w:rPr>
            </w:pPr>
          </w:p>
        </w:tc>
        <w:tc>
          <w:tcPr>
            <w:tcW w:w="1701" w:type="dxa"/>
            <w:vMerge/>
            <w:shd w:val="clear" w:color="auto" w:fill="77206D" w:themeFill="accent5" w:themeFillShade="BF"/>
          </w:tcPr>
          <w:p w14:paraId="386E4C26" w14:textId="77777777" w:rsidR="00D219FA" w:rsidRPr="003E3FC4" w:rsidRDefault="00D219FA" w:rsidP="002B0F76">
            <w:pPr>
              <w:spacing w:line="300" w:lineRule="auto"/>
              <w:jc w:val="both"/>
              <w:rPr>
                <w:rFonts w:cs="Arial"/>
                <w:b/>
                <w:bCs/>
                <w:color w:val="FFFFFF" w:themeColor="background1"/>
                <w:sz w:val="21"/>
                <w:szCs w:val="21"/>
              </w:rPr>
            </w:pPr>
          </w:p>
        </w:tc>
        <w:tc>
          <w:tcPr>
            <w:tcW w:w="3767" w:type="dxa"/>
            <w:vMerge/>
          </w:tcPr>
          <w:p w14:paraId="7A6C2B89" w14:textId="77777777" w:rsidR="00D219FA" w:rsidRPr="003E3FC4" w:rsidRDefault="00D219FA" w:rsidP="002B0F76">
            <w:pPr>
              <w:spacing w:line="300" w:lineRule="auto"/>
              <w:jc w:val="both"/>
              <w:rPr>
                <w:rFonts w:cs="Arial"/>
                <w:sz w:val="21"/>
                <w:szCs w:val="21"/>
              </w:rPr>
            </w:pPr>
          </w:p>
        </w:tc>
        <w:tc>
          <w:tcPr>
            <w:tcW w:w="1521" w:type="dxa"/>
          </w:tcPr>
          <w:p w14:paraId="22CF2FE4" w14:textId="77777777" w:rsidR="00D219FA" w:rsidRPr="003E3FC4" w:rsidRDefault="00D219FA" w:rsidP="002B0F76">
            <w:pPr>
              <w:spacing w:line="300" w:lineRule="auto"/>
              <w:jc w:val="both"/>
              <w:rPr>
                <w:rFonts w:cs="Arial"/>
                <w:sz w:val="21"/>
                <w:szCs w:val="21"/>
              </w:rPr>
            </w:pPr>
            <w:r w:rsidRPr="003E3FC4">
              <w:rPr>
                <w:rFonts w:cs="Arial"/>
                <w:sz w:val="21"/>
                <w:szCs w:val="21"/>
              </w:rPr>
              <w:t>Denominator</w:t>
            </w:r>
          </w:p>
        </w:tc>
        <w:tc>
          <w:tcPr>
            <w:tcW w:w="2335" w:type="dxa"/>
            <w:shd w:val="clear" w:color="auto" w:fill="D86DCB" w:themeFill="accent5" w:themeFillTint="99"/>
          </w:tcPr>
          <w:p w14:paraId="016D00E5" w14:textId="77777777" w:rsidR="00D219FA" w:rsidRPr="003E3FC4" w:rsidRDefault="00D219FA" w:rsidP="002B0F76">
            <w:pPr>
              <w:spacing w:line="300" w:lineRule="auto"/>
              <w:jc w:val="both"/>
              <w:rPr>
                <w:rFonts w:cs="Arial"/>
                <w:sz w:val="21"/>
                <w:szCs w:val="21"/>
              </w:rPr>
            </w:pPr>
            <w:r w:rsidRPr="003E3FC4">
              <w:rPr>
                <w:sz w:val="21"/>
                <w:szCs w:val="21"/>
              </w:rPr>
              <w:t xml:space="preserve">Debt Service Costs </w:t>
            </w:r>
          </w:p>
        </w:tc>
      </w:tr>
      <w:tr w:rsidR="00D219FA" w:rsidRPr="003E3FC4" w14:paraId="2E344244" w14:textId="77777777" w:rsidTr="002B0F76">
        <w:trPr>
          <w:jc w:val="center"/>
        </w:trPr>
        <w:tc>
          <w:tcPr>
            <w:tcW w:w="421" w:type="dxa"/>
            <w:vMerge w:val="restart"/>
            <w:shd w:val="clear" w:color="auto" w:fill="0B769F" w:themeFill="accent4" w:themeFillShade="BF"/>
          </w:tcPr>
          <w:p w14:paraId="0AECA261" w14:textId="77777777" w:rsidR="00D219FA" w:rsidRPr="003E3FC4" w:rsidRDefault="00D219FA" w:rsidP="002B0F76">
            <w:pPr>
              <w:spacing w:line="300" w:lineRule="auto"/>
              <w:jc w:val="both"/>
              <w:rPr>
                <w:rFonts w:cs="Arial"/>
                <w:b/>
                <w:bCs/>
                <w:color w:val="FFFFFF" w:themeColor="background1"/>
                <w:sz w:val="21"/>
                <w:szCs w:val="21"/>
              </w:rPr>
            </w:pPr>
            <w:r w:rsidRPr="003E3FC4">
              <w:rPr>
                <w:rFonts w:cs="Arial"/>
                <w:b/>
                <w:bCs/>
                <w:color w:val="FFFFFF" w:themeColor="background1"/>
                <w:sz w:val="21"/>
                <w:szCs w:val="21"/>
              </w:rPr>
              <w:t>3</w:t>
            </w:r>
          </w:p>
        </w:tc>
        <w:tc>
          <w:tcPr>
            <w:tcW w:w="1701" w:type="dxa"/>
            <w:vMerge w:val="restart"/>
            <w:shd w:val="clear" w:color="auto" w:fill="0B769F" w:themeFill="accent4" w:themeFillShade="BF"/>
          </w:tcPr>
          <w:p w14:paraId="331E17C4" w14:textId="77777777" w:rsidR="00D219FA" w:rsidRPr="003E3FC4" w:rsidRDefault="00D219FA" w:rsidP="002B0F76">
            <w:pPr>
              <w:spacing w:line="300" w:lineRule="auto"/>
              <w:jc w:val="both"/>
              <w:rPr>
                <w:rFonts w:cs="Arial"/>
                <w:b/>
                <w:bCs/>
                <w:color w:val="FFFFFF" w:themeColor="background1"/>
                <w:sz w:val="21"/>
                <w:szCs w:val="21"/>
              </w:rPr>
            </w:pPr>
            <w:r w:rsidRPr="003E3FC4">
              <w:rPr>
                <w:rFonts w:cs="Arial"/>
                <w:b/>
                <w:bCs/>
                <w:color w:val="FFFFFF" w:themeColor="background1"/>
                <w:sz w:val="21"/>
                <w:szCs w:val="21"/>
              </w:rPr>
              <w:t>Operating Surplus Ratio</w:t>
            </w:r>
          </w:p>
        </w:tc>
        <w:tc>
          <w:tcPr>
            <w:tcW w:w="3767" w:type="dxa"/>
            <w:vMerge w:val="restart"/>
          </w:tcPr>
          <w:p w14:paraId="24827A58" w14:textId="77777777" w:rsidR="00D219FA" w:rsidRPr="003E3FC4" w:rsidRDefault="00D219FA" w:rsidP="002B0F76">
            <w:pPr>
              <w:spacing w:line="300" w:lineRule="auto"/>
              <w:jc w:val="both"/>
              <w:rPr>
                <w:sz w:val="21"/>
                <w:szCs w:val="21"/>
              </w:rPr>
            </w:pPr>
            <w:r w:rsidRPr="00F26D79">
              <w:rPr>
                <w:rFonts w:cs="Arial"/>
              </w:rPr>
              <w:t xml:space="preserve">An indicator of the extent to which revenue raised </w:t>
            </w:r>
            <w:r>
              <w:rPr>
                <w:rFonts w:cs="Arial"/>
              </w:rPr>
              <w:t xml:space="preserve">by an LG </w:t>
            </w:r>
            <w:r w:rsidRPr="00F26D79">
              <w:rPr>
                <w:rFonts w:cs="Arial"/>
              </w:rPr>
              <w:t xml:space="preserve">not only covers operational expenses but also </w:t>
            </w:r>
            <w:r w:rsidRPr="00F26D79">
              <w:rPr>
                <w:rFonts w:cs="Arial"/>
              </w:rPr>
              <w:lastRenderedPageBreak/>
              <w:t>provides for capital funding, debt repayment and transfers to reserves.</w:t>
            </w:r>
          </w:p>
        </w:tc>
        <w:tc>
          <w:tcPr>
            <w:tcW w:w="1521" w:type="dxa"/>
          </w:tcPr>
          <w:p w14:paraId="3C9C4807" w14:textId="77777777" w:rsidR="00D219FA" w:rsidRPr="003E3FC4" w:rsidRDefault="00D219FA" w:rsidP="002B0F76">
            <w:pPr>
              <w:spacing w:line="300" w:lineRule="auto"/>
              <w:jc w:val="both"/>
              <w:rPr>
                <w:rFonts w:cs="Arial"/>
                <w:b/>
                <w:bCs/>
                <w:sz w:val="21"/>
                <w:szCs w:val="21"/>
              </w:rPr>
            </w:pPr>
            <w:r w:rsidRPr="003E3FC4">
              <w:rPr>
                <w:sz w:val="21"/>
                <w:szCs w:val="21"/>
              </w:rPr>
              <w:lastRenderedPageBreak/>
              <w:t>Numerator</w:t>
            </w:r>
          </w:p>
        </w:tc>
        <w:tc>
          <w:tcPr>
            <w:tcW w:w="2335" w:type="dxa"/>
            <w:shd w:val="clear" w:color="auto" w:fill="CAEDFB" w:themeFill="accent4" w:themeFillTint="33"/>
          </w:tcPr>
          <w:p w14:paraId="52840803" w14:textId="77777777" w:rsidR="00D219FA" w:rsidRPr="003E3FC4" w:rsidRDefault="00D219FA" w:rsidP="002B0F76">
            <w:pPr>
              <w:spacing w:line="300" w:lineRule="auto"/>
              <w:jc w:val="both"/>
              <w:rPr>
                <w:rFonts w:cs="Arial"/>
                <w:b/>
                <w:bCs/>
                <w:sz w:val="21"/>
                <w:szCs w:val="21"/>
              </w:rPr>
            </w:pPr>
            <w:r w:rsidRPr="003E3FC4">
              <w:rPr>
                <w:sz w:val="21"/>
                <w:szCs w:val="21"/>
              </w:rPr>
              <w:t>Adjusted Operating Surplus</w:t>
            </w:r>
          </w:p>
        </w:tc>
      </w:tr>
      <w:tr w:rsidR="00D219FA" w:rsidRPr="003E3FC4" w14:paraId="328E02C3" w14:textId="77777777" w:rsidTr="002B0F76">
        <w:trPr>
          <w:jc w:val="center"/>
        </w:trPr>
        <w:tc>
          <w:tcPr>
            <w:tcW w:w="421" w:type="dxa"/>
            <w:vMerge/>
            <w:shd w:val="clear" w:color="auto" w:fill="0B769F" w:themeFill="accent4" w:themeFillShade="BF"/>
          </w:tcPr>
          <w:p w14:paraId="25DF091D" w14:textId="77777777" w:rsidR="00D219FA" w:rsidRPr="003E3FC4" w:rsidRDefault="00D219FA" w:rsidP="002B0F76">
            <w:pPr>
              <w:spacing w:line="300" w:lineRule="auto"/>
              <w:jc w:val="both"/>
              <w:rPr>
                <w:rFonts w:cs="Arial"/>
                <w:b/>
                <w:bCs/>
                <w:color w:val="FFFFFF" w:themeColor="background1"/>
                <w:sz w:val="21"/>
                <w:szCs w:val="21"/>
              </w:rPr>
            </w:pPr>
          </w:p>
        </w:tc>
        <w:tc>
          <w:tcPr>
            <w:tcW w:w="1701" w:type="dxa"/>
            <w:vMerge/>
            <w:shd w:val="clear" w:color="auto" w:fill="0B769F" w:themeFill="accent4" w:themeFillShade="BF"/>
          </w:tcPr>
          <w:p w14:paraId="786D7247" w14:textId="77777777" w:rsidR="00D219FA" w:rsidRPr="003E3FC4" w:rsidRDefault="00D219FA" w:rsidP="002B0F76">
            <w:pPr>
              <w:spacing w:line="300" w:lineRule="auto"/>
              <w:jc w:val="both"/>
              <w:rPr>
                <w:rFonts w:cs="Arial"/>
                <w:b/>
                <w:bCs/>
                <w:color w:val="FFFFFF" w:themeColor="background1"/>
                <w:sz w:val="21"/>
                <w:szCs w:val="21"/>
              </w:rPr>
            </w:pPr>
          </w:p>
        </w:tc>
        <w:tc>
          <w:tcPr>
            <w:tcW w:w="3767" w:type="dxa"/>
            <w:vMerge/>
          </w:tcPr>
          <w:p w14:paraId="19C5F858" w14:textId="77777777" w:rsidR="00D219FA" w:rsidRPr="003E3FC4" w:rsidRDefault="00D219FA" w:rsidP="002B0F76">
            <w:pPr>
              <w:spacing w:line="300" w:lineRule="auto"/>
              <w:jc w:val="both"/>
              <w:rPr>
                <w:sz w:val="21"/>
                <w:szCs w:val="21"/>
              </w:rPr>
            </w:pPr>
          </w:p>
        </w:tc>
        <w:tc>
          <w:tcPr>
            <w:tcW w:w="1521" w:type="dxa"/>
          </w:tcPr>
          <w:p w14:paraId="5AD506D5" w14:textId="77777777" w:rsidR="00D219FA" w:rsidRPr="003E3FC4" w:rsidRDefault="00D219FA" w:rsidP="002B0F76">
            <w:pPr>
              <w:spacing w:line="300" w:lineRule="auto"/>
              <w:jc w:val="both"/>
              <w:rPr>
                <w:rFonts w:cs="Arial"/>
                <w:b/>
                <w:bCs/>
                <w:sz w:val="21"/>
                <w:szCs w:val="21"/>
              </w:rPr>
            </w:pPr>
            <w:r w:rsidRPr="003E3FC4">
              <w:rPr>
                <w:sz w:val="21"/>
                <w:szCs w:val="21"/>
              </w:rPr>
              <w:t>Denominator</w:t>
            </w:r>
          </w:p>
        </w:tc>
        <w:tc>
          <w:tcPr>
            <w:tcW w:w="2335" w:type="dxa"/>
            <w:shd w:val="clear" w:color="auto" w:fill="60CAF3" w:themeFill="accent4" w:themeFillTint="99"/>
          </w:tcPr>
          <w:p w14:paraId="3974026E" w14:textId="77777777" w:rsidR="00D219FA" w:rsidRPr="003E3FC4" w:rsidRDefault="00D219FA" w:rsidP="002B0F76">
            <w:pPr>
              <w:spacing w:line="300" w:lineRule="auto"/>
              <w:jc w:val="both"/>
              <w:rPr>
                <w:rFonts w:cs="Arial"/>
                <w:b/>
                <w:bCs/>
                <w:sz w:val="21"/>
                <w:szCs w:val="21"/>
              </w:rPr>
            </w:pPr>
            <w:r w:rsidRPr="003E3FC4">
              <w:rPr>
                <w:sz w:val="21"/>
                <w:szCs w:val="21"/>
              </w:rPr>
              <w:t>Adjusted Operating Revenue (2)</w:t>
            </w:r>
          </w:p>
        </w:tc>
      </w:tr>
      <w:tr w:rsidR="00D219FA" w:rsidRPr="003E3FC4" w14:paraId="71EF8863" w14:textId="77777777" w:rsidTr="002B0F76">
        <w:trPr>
          <w:jc w:val="center"/>
        </w:trPr>
        <w:tc>
          <w:tcPr>
            <w:tcW w:w="421" w:type="dxa"/>
            <w:vMerge w:val="restart"/>
            <w:shd w:val="clear" w:color="auto" w:fill="BF4E14" w:themeFill="accent2" w:themeFillShade="BF"/>
          </w:tcPr>
          <w:p w14:paraId="0D0CD3A7" w14:textId="77777777" w:rsidR="00D219FA" w:rsidRPr="003E3FC4" w:rsidRDefault="00D219FA" w:rsidP="002B0F76">
            <w:pPr>
              <w:spacing w:line="300" w:lineRule="auto"/>
              <w:jc w:val="both"/>
              <w:rPr>
                <w:rFonts w:cs="Arial"/>
                <w:b/>
                <w:bCs/>
                <w:color w:val="FFFFFF" w:themeColor="background1"/>
                <w:sz w:val="21"/>
                <w:szCs w:val="21"/>
              </w:rPr>
            </w:pPr>
            <w:r w:rsidRPr="003E3FC4">
              <w:rPr>
                <w:rFonts w:cs="Arial"/>
                <w:b/>
                <w:bCs/>
                <w:color w:val="FFFFFF" w:themeColor="background1"/>
                <w:sz w:val="21"/>
                <w:szCs w:val="21"/>
              </w:rPr>
              <w:t>4</w:t>
            </w:r>
          </w:p>
        </w:tc>
        <w:tc>
          <w:tcPr>
            <w:tcW w:w="1701" w:type="dxa"/>
            <w:vMerge w:val="restart"/>
            <w:shd w:val="clear" w:color="auto" w:fill="BF4E14" w:themeFill="accent2" w:themeFillShade="BF"/>
          </w:tcPr>
          <w:p w14:paraId="402054DB" w14:textId="77777777" w:rsidR="00D219FA" w:rsidRPr="003E3FC4" w:rsidRDefault="00D219FA" w:rsidP="002B0F76">
            <w:pPr>
              <w:spacing w:line="300" w:lineRule="auto"/>
              <w:jc w:val="both"/>
              <w:rPr>
                <w:rFonts w:cs="Arial"/>
                <w:b/>
                <w:bCs/>
                <w:color w:val="FFFFFF" w:themeColor="background1"/>
                <w:sz w:val="21"/>
                <w:szCs w:val="21"/>
              </w:rPr>
            </w:pPr>
            <w:r w:rsidRPr="003E3FC4">
              <w:rPr>
                <w:rFonts w:cs="Arial"/>
                <w:b/>
                <w:bCs/>
                <w:color w:val="FFFFFF" w:themeColor="background1"/>
                <w:sz w:val="21"/>
                <w:szCs w:val="21"/>
              </w:rPr>
              <w:t>Net Liabilities Ratio</w:t>
            </w:r>
          </w:p>
        </w:tc>
        <w:tc>
          <w:tcPr>
            <w:tcW w:w="3767" w:type="dxa"/>
            <w:vMerge w:val="restart"/>
          </w:tcPr>
          <w:p w14:paraId="33642F53" w14:textId="77777777" w:rsidR="00D219FA" w:rsidRPr="003E3FC4" w:rsidRDefault="00D219FA" w:rsidP="002B0F76">
            <w:pPr>
              <w:spacing w:line="300" w:lineRule="auto"/>
              <w:jc w:val="both"/>
              <w:rPr>
                <w:sz w:val="21"/>
                <w:szCs w:val="21"/>
              </w:rPr>
            </w:pPr>
            <w:r w:rsidRPr="00F26D79">
              <w:rPr>
                <w:rFonts w:cs="Arial"/>
              </w:rPr>
              <w:t>An indicator of the extent to which the net financial liabilities of a</w:t>
            </w:r>
            <w:r>
              <w:rPr>
                <w:rFonts w:cs="Arial"/>
              </w:rPr>
              <w:t>n LG</w:t>
            </w:r>
            <w:r w:rsidRPr="00F26D79">
              <w:rPr>
                <w:rFonts w:cs="Arial"/>
              </w:rPr>
              <w:t xml:space="preserve"> can be serviced by its operating revenues. Potential indicator of </w:t>
            </w:r>
            <w:r>
              <w:rPr>
                <w:rFonts w:cs="Arial"/>
              </w:rPr>
              <w:t xml:space="preserve">an </w:t>
            </w:r>
            <w:r w:rsidRPr="00F26D79">
              <w:rPr>
                <w:rFonts w:cs="Arial"/>
              </w:rPr>
              <w:t>LG</w:t>
            </w:r>
            <w:r>
              <w:rPr>
                <w:rFonts w:cs="Arial"/>
              </w:rPr>
              <w:t>’s</w:t>
            </w:r>
            <w:r w:rsidRPr="00F26D79">
              <w:rPr>
                <w:rFonts w:cs="Arial"/>
              </w:rPr>
              <w:t xml:space="preserve"> capacity to access new/additional debt to meet future capital funding requirements.</w:t>
            </w:r>
          </w:p>
        </w:tc>
        <w:tc>
          <w:tcPr>
            <w:tcW w:w="1521" w:type="dxa"/>
          </w:tcPr>
          <w:p w14:paraId="25784DDC" w14:textId="77777777" w:rsidR="00D219FA" w:rsidRPr="003E3FC4" w:rsidRDefault="00D219FA" w:rsidP="002B0F76">
            <w:pPr>
              <w:spacing w:line="300" w:lineRule="auto"/>
              <w:jc w:val="both"/>
              <w:rPr>
                <w:rFonts w:cs="Arial"/>
                <w:b/>
                <w:bCs/>
                <w:sz w:val="21"/>
                <w:szCs w:val="21"/>
              </w:rPr>
            </w:pPr>
            <w:r w:rsidRPr="003E3FC4">
              <w:rPr>
                <w:sz w:val="21"/>
                <w:szCs w:val="21"/>
              </w:rPr>
              <w:t>Numerator</w:t>
            </w:r>
          </w:p>
        </w:tc>
        <w:tc>
          <w:tcPr>
            <w:tcW w:w="2335" w:type="dxa"/>
            <w:shd w:val="clear" w:color="auto" w:fill="FAE2D5" w:themeFill="accent2" w:themeFillTint="33"/>
          </w:tcPr>
          <w:p w14:paraId="134FA812" w14:textId="77777777" w:rsidR="00D219FA" w:rsidRPr="003E3FC4" w:rsidRDefault="00D219FA" w:rsidP="002B0F76">
            <w:pPr>
              <w:spacing w:line="300" w:lineRule="auto"/>
              <w:jc w:val="both"/>
              <w:rPr>
                <w:rFonts w:cs="Arial"/>
                <w:b/>
                <w:bCs/>
                <w:sz w:val="21"/>
                <w:szCs w:val="21"/>
              </w:rPr>
            </w:pPr>
            <w:r w:rsidRPr="003E3FC4">
              <w:rPr>
                <w:sz w:val="21"/>
                <w:szCs w:val="21"/>
              </w:rPr>
              <w:t>Net Financial Liabilities</w:t>
            </w:r>
          </w:p>
        </w:tc>
      </w:tr>
      <w:tr w:rsidR="00D219FA" w:rsidRPr="003E3FC4" w14:paraId="7775EBBD" w14:textId="77777777" w:rsidTr="002B0F76">
        <w:trPr>
          <w:jc w:val="center"/>
        </w:trPr>
        <w:tc>
          <w:tcPr>
            <w:tcW w:w="421" w:type="dxa"/>
            <w:vMerge/>
            <w:shd w:val="clear" w:color="auto" w:fill="BF4E14" w:themeFill="accent2" w:themeFillShade="BF"/>
          </w:tcPr>
          <w:p w14:paraId="0D50339B" w14:textId="77777777" w:rsidR="00D219FA" w:rsidRPr="003E3FC4" w:rsidRDefault="00D219FA" w:rsidP="002B0F76">
            <w:pPr>
              <w:spacing w:line="300" w:lineRule="auto"/>
              <w:jc w:val="both"/>
              <w:rPr>
                <w:rFonts w:cs="Arial"/>
                <w:b/>
                <w:bCs/>
                <w:sz w:val="21"/>
                <w:szCs w:val="21"/>
              </w:rPr>
            </w:pPr>
          </w:p>
        </w:tc>
        <w:tc>
          <w:tcPr>
            <w:tcW w:w="1701" w:type="dxa"/>
            <w:vMerge/>
            <w:shd w:val="clear" w:color="auto" w:fill="BF4E14" w:themeFill="accent2" w:themeFillShade="BF"/>
          </w:tcPr>
          <w:p w14:paraId="58D87BAD" w14:textId="77777777" w:rsidR="00D219FA" w:rsidRPr="003E3FC4" w:rsidRDefault="00D219FA" w:rsidP="002B0F76">
            <w:pPr>
              <w:spacing w:line="300" w:lineRule="auto"/>
              <w:jc w:val="both"/>
              <w:rPr>
                <w:rFonts w:cs="Arial"/>
                <w:b/>
                <w:bCs/>
                <w:sz w:val="21"/>
                <w:szCs w:val="21"/>
              </w:rPr>
            </w:pPr>
          </w:p>
        </w:tc>
        <w:tc>
          <w:tcPr>
            <w:tcW w:w="3767" w:type="dxa"/>
            <w:vMerge/>
          </w:tcPr>
          <w:p w14:paraId="040D88CC" w14:textId="77777777" w:rsidR="00D219FA" w:rsidRPr="003E3FC4" w:rsidRDefault="00D219FA" w:rsidP="002B0F76">
            <w:pPr>
              <w:spacing w:line="300" w:lineRule="auto"/>
              <w:jc w:val="both"/>
              <w:rPr>
                <w:sz w:val="21"/>
                <w:szCs w:val="21"/>
              </w:rPr>
            </w:pPr>
          </w:p>
        </w:tc>
        <w:tc>
          <w:tcPr>
            <w:tcW w:w="1521" w:type="dxa"/>
          </w:tcPr>
          <w:p w14:paraId="1645B1A2" w14:textId="77777777" w:rsidR="00D219FA" w:rsidRPr="003E3FC4" w:rsidRDefault="00D219FA" w:rsidP="002B0F76">
            <w:pPr>
              <w:spacing w:line="300" w:lineRule="auto"/>
              <w:jc w:val="both"/>
              <w:rPr>
                <w:rFonts w:cs="Arial"/>
                <w:b/>
                <w:bCs/>
                <w:sz w:val="21"/>
                <w:szCs w:val="21"/>
              </w:rPr>
            </w:pPr>
            <w:r w:rsidRPr="003E3FC4">
              <w:rPr>
                <w:sz w:val="21"/>
                <w:szCs w:val="21"/>
              </w:rPr>
              <w:t>Denominator</w:t>
            </w:r>
          </w:p>
        </w:tc>
        <w:tc>
          <w:tcPr>
            <w:tcW w:w="2335" w:type="dxa"/>
            <w:shd w:val="clear" w:color="auto" w:fill="F1A983" w:themeFill="accent2" w:themeFillTint="99"/>
          </w:tcPr>
          <w:p w14:paraId="0ABC5E2F" w14:textId="77777777" w:rsidR="00D219FA" w:rsidRPr="003E3FC4" w:rsidRDefault="00D219FA" w:rsidP="002B0F76">
            <w:pPr>
              <w:spacing w:line="300" w:lineRule="auto"/>
              <w:jc w:val="both"/>
              <w:rPr>
                <w:rFonts w:cs="Arial"/>
                <w:b/>
                <w:bCs/>
                <w:sz w:val="21"/>
                <w:szCs w:val="21"/>
              </w:rPr>
            </w:pPr>
            <w:r w:rsidRPr="003E3FC4">
              <w:rPr>
                <w:sz w:val="21"/>
                <w:szCs w:val="21"/>
              </w:rPr>
              <w:t>Adjusted Operating Revenue (1)</w:t>
            </w:r>
          </w:p>
        </w:tc>
      </w:tr>
    </w:tbl>
    <w:p w14:paraId="01E1BA7C" w14:textId="77777777" w:rsidR="00D219FA" w:rsidRDefault="00D219FA" w:rsidP="00D219FA">
      <w:pPr>
        <w:rPr>
          <w:lang w:eastAsia="en-AU"/>
        </w:rPr>
      </w:pPr>
    </w:p>
    <w:p w14:paraId="4BBBCE3C" w14:textId="77777777" w:rsidR="00D219FA" w:rsidRDefault="00D219FA" w:rsidP="00D219FA">
      <w:r>
        <w:t>Further information on the inputs for the ratio formulas is included in the appendix.</w:t>
      </w:r>
    </w:p>
    <w:p w14:paraId="7EE3AD8F" w14:textId="24A870A4" w:rsidR="00D219FA" w:rsidRPr="00DF4E9F" w:rsidRDefault="00D219FA" w:rsidP="00D219FA">
      <w:pPr>
        <w:pStyle w:val="Heading2"/>
      </w:pPr>
      <w:bookmarkStart w:id="7" w:name="_Toc188437767"/>
      <w:bookmarkStart w:id="8" w:name="_Toc192499388"/>
      <w:r w:rsidRPr="00DF4E9F">
        <w:t xml:space="preserve">1.2 </w:t>
      </w:r>
      <w:r>
        <w:t xml:space="preserve">LGFI </w:t>
      </w:r>
      <w:r w:rsidR="0004025A">
        <w:t>c</w:t>
      </w:r>
      <w:r w:rsidRPr="00DF4E9F">
        <w:t>alculation</w:t>
      </w:r>
      <w:bookmarkEnd w:id="7"/>
      <w:bookmarkEnd w:id="8"/>
    </w:p>
    <w:p w14:paraId="7F864F04" w14:textId="77777777" w:rsidR="00D219FA" w:rsidRDefault="00D219FA" w:rsidP="00D219FA">
      <w:pPr>
        <w:pStyle w:val="Heading3"/>
      </w:pPr>
      <w:bookmarkStart w:id="9" w:name="_Toc192499389"/>
      <w:r>
        <w:t>1.2.1 Overview</w:t>
      </w:r>
      <w:bookmarkEnd w:id="9"/>
    </w:p>
    <w:p w14:paraId="5E924742" w14:textId="77777777" w:rsidR="00D219FA" w:rsidRPr="00D219FA" w:rsidRDefault="00D219FA" w:rsidP="00D219FA">
      <w:r w:rsidRPr="00D219FA">
        <w:t>The ratios are recorded for an LG on a financial year basis and are used in the calculation of a corresponding annual LGFI result.</w:t>
      </w:r>
    </w:p>
    <w:p w14:paraId="2CC4A417" w14:textId="77777777" w:rsidR="00D219FA" w:rsidRPr="00D219FA" w:rsidRDefault="00D219FA" w:rsidP="00D219FA">
      <w:pPr>
        <w:pStyle w:val="Listbullet"/>
      </w:pPr>
      <w:r w:rsidRPr="00D219FA">
        <w:t xml:space="preserve">Four component ratios are calculated for each LG every financial </w:t>
      </w:r>
      <w:proofErr w:type="gramStart"/>
      <w:r w:rsidRPr="00D219FA">
        <w:t>year;</w:t>
      </w:r>
      <w:proofErr w:type="gramEnd"/>
      <w:r w:rsidRPr="00D219FA">
        <w:t xml:space="preserve"> </w:t>
      </w:r>
    </w:p>
    <w:p w14:paraId="0ED7DC87" w14:textId="77777777" w:rsidR="00D219FA" w:rsidRPr="00D219FA" w:rsidRDefault="00D219FA" w:rsidP="00D219FA">
      <w:pPr>
        <w:pStyle w:val="Listbullet"/>
      </w:pPr>
      <w:r w:rsidRPr="00D219FA">
        <w:t xml:space="preserve">Each ratio is then converted into a numerical score between 1 and 10, depending on where the ratio lies on a linear scale </w:t>
      </w:r>
      <w:proofErr w:type="gramStart"/>
      <w:r w:rsidRPr="00D219FA">
        <w:t>featuring  floor</w:t>
      </w:r>
      <w:proofErr w:type="gramEnd"/>
      <w:r w:rsidRPr="00D219FA">
        <w:t xml:space="preserve">, benchmark and cap thresholds (noting that a floor and cap threshold are used to ensure that no </w:t>
      </w:r>
      <w:r>
        <w:t xml:space="preserve">LG </w:t>
      </w:r>
      <w:r w:rsidRPr="00D219FA">
        <w:t xml:space="preserve">can be scored worse than one nor better than 10 for any ratio); </w:t>
      </w:r>
    </w:p>
    <w:p w14:paraId="0A33D62D" w14:textId="77777777" w:rsidR="00D219FA" w:rsidRPr="00D219FA" w:rsidRDefault="00D219FA" w:rsidP="00D219FA">
      <w:pPr>
        <w:pStyle w:val="Listbullet"/>
      </w:pPr>
      <w:r w:rsidRPr="00D219FA">
        <w:t xml:space="preserve">Each ratio score is then multiplied by a weighting factor (which collectively sum to one) reflective of the relative importance of that ratio in contrast to the other </w:t>
      </w:r>
      <w:proofErr w:type="gramStart"/>
      <w:r w:rsidRPr="00D219FA">
        <w:t>three;</w:t>
      </w:r>
      <w:proofErr w:type="gramEnd"/>
      <w:r w:rsidRPr="00D219FA">
        <w:t xml:space="preserve"> </w:t>
      </w:r>
    </w:p>
    <w:p w14:paraId="01AC397E" w14:textId="77777777" w:rsidR="00D219FA" w:rsidRPr="00D219FA" w:rsidRDefault="00D219FA" w:rsidP="00D219FA">
      <w:pPr>
        <w:pStyle w:val="Listbullet"/>
      </w:pPr>
      <w:r w:rsidRPr="00D219FA">
        <w:t xml:space="preserve">The weight-adjusted four ratio scores are then </w:t>
      </w:r>
      <w:proofErr w:type="gramStart"/>
      <w:r w:rsidRPr="00D219FA">
        <w:t>summed</w:t>
      </w:r>
      <w:proofErr w:type="gramEnd"/>
      <w:r w:rsidRPr="00D219FA">
        <w:t xml:space="preserve"> and the product is multiplied by a scaling factor of 10 to provide a final annual LGFI score in a range between 10 and 100; and </w:t>
      </w:r>
    </w:p>
    <w:p w14:paraId="472652A4" w14:textId="77777777" w:rsidR="00D219FA" w:rsidRPr="00D219FA" w:rsidRDefault="00D219FA" w:rsidP="00D219FA">
      <w:pPr>
        <w:pStyle w:val="Listbullet"/>
      </w:pPr>
      <w:r w:rsidRPr="00D219FA">
        <w:t>The benchmark LGFI score is 70.</w:t>
      </w:r>
    </w:p>
    <w:p w14:paraId="243D3C71" w14:textId="77777777" w:rsidR="00D219FA" w:rsidRDefault="00D219FA" w:rsidP="00D219FA">
      <w:pPr>
        <w:rPr>
          <w:rFonts w:cs="Arial"/>
          <w:b/>
          <w:bCs/>
        </w:rPr>
      </w:pPr>
      <w:r>
        <w:rPr>
          <w:rFonts w:cs="Arial"/>
          <w:b/>
          <w:bCs/>
        </w:rPr>
        <w:br w:type="page"/>
      </w:r>
    </w:p>
    <w:p w14:paraId="5C4483E1" w14:textId="77777777" w:rsidR="00D219FA" w:rsidRPr="004D2497" w:rsidRDefault="00D219FA" w:rsidP="00D219FA">
      <w:pPr>
        <w:spacing w:line="300" w:lineRule="auto"/>
        <w:jc w:val="both"/>
        <w:rPr>
          <w:rFonts w:cs="Arial"/>
        </w:rPr>
      </w:pPr>
      <w:r>
        <w:rPr>
          <w:rFonts w:cs="Arial"/>
          <w:b/>
          <w:bCs/>
        </w:rPr>
        <w:lastRenderedPageBreak/>
        <w:t>Figure 1</w:t>
      </w:r>
      <w:r w:rsidRPr="004D2497">
        <w:rPr>
          <w:rFonts w:cs="Arial"/>
          <w:b/>
          <w:bCs/>
        </w:rPr>
        <w:t xml:space="preserve">: </w:t>
      </w:r>
      <w:r w:rsidRPr="004D2497">
        <w:rPr>
          <w:rFonts w:cs="Arial"/>
        </w:rPr>
        <w:t xml:space="preserve">LGFI </w:t>
      </w:r>
      <w:r>
        <w:rPr>
          <w:rFonts w:cs="Arial"/>
        </w:rPr>
        <w:t>Methodology</w:t>
      </w:r>
    </w:p>
    <w:p w14:paraId="4B843DDB" w14:textId="77777777" w:rsidR="00D219FA" w:rsidRPr="00824F0F" w:rsidRDefault="00D219FA" w:rsidP="00D219FA">
      <w:pPr>
        <w:spacing w:line="300" w:lineRule="auto"/>
        <w:jc w:val="both"/>
        <w:rPr>
          <w:rFonts w:cs="Arial"/>
        </w:rPr>
      </w:pPr>
      <w:r w:rsidRPr="00336F98">
        <w:rPr>
          <w:noProof/>
          <w:lang w:eastAsia="en-AU"/>
        </w:rPr>
        <w:drawing>
          <wp:anchor distT="0" distB="0" distL="114300" distR="114300" simplePos="0" relativeHeight="251670528" behindDoc="1" locked="0" layoutInCell="1" allowOverlap="1" wp14:anchorId="3C403DF1" wp14:editId="079507F8">
            <wp:simplePos x="0" y="0"/>
            <wp:positionH relativeFrom="page">
              <wp:posOffset>2095500</wp:posOffset>
            </wp:positionH>
            <wp:positionV relativeFrom="paragraph">
              <wp:posOffset>28575</wp:posOffset>
            </wp:positionV>
            <wp:extent cx="2971800" cy="5067300"/>
            <wp:effectExtent l="0" t="19050" r="19050" b="38100"/>
            <wp:wrapTight wrapText="bothSides">
              <wp:wrapPolygon edited="0">
                <wp:start x="0" y="-81"/>
                <wp:lineTo x="0" y="19570"/>
                <wp:lineTo x="1662" y="20707"/>
                <wp:lineTo x="3185" y="21681"/>
                <wp:lineTo x="3323" y="21681"/>
                <wp:lineTo x="3877" y="21681"/>
                <wp:lineTo x="4015" y="21681"/>
                <wp:lineTo x="5677" y="20707"/>
                <wp:lineTo x="21323" y="19408"/>
                <wp:lineTo x="21600" y="19083"/>
                <wp:lineTo x="21600" y="15510"/>
                <wp:lineTo x="21462" y="14211"/>
                <wp:lineTo x="21600" y="13967"/>
                <wp:lineTo x="21600" y="10313"/>
                <wp:lineTo x="21462" y="9014"/>
                <wp:lineTo x="21600" y="8770"/>
                <wp:lineTo x="21600" y="-81"/>
                <wp:lineTo x="7477" y="-81"/>
                <wp:lineTo x="0" y="-81"/>
              </wp:wrapPolygon>
            </wp:wrapTight>
            <wp:docPr id="23294243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2B45E2B6" w14:textId="77777777" w:rsidR="00D219FA" w:rsidRDefault="00D219FA" w:rsidP="00D219FA">
      <w:pPr>
        <w:spacing w:line="300" w:lineRule="auto"/>
        <w:jc w:val="both"/>
        <w:rPr>
          <w:rFonts w:cs="Arial"/>
          <w:b/>
          <w:bCs/>
        </w:rPr>
      </w:pPr>
    </w:p>
    <w:p w14:paraId="33172607" w14:textId="77777777" w:rsidR="00D219FA" w:rsidRDefault="00D219FA" w:rsidP="00D219FA">
      <w:pPr>
        <w:spacing w:line="300" w:lineRule="auto"/>
        <w:jc w:val="both"/>
        <w:rPr>
          <w:rFonts w:cs="Arial"/>
          <w:b/>
          <w:bCs/>
        </w:rPr>
      </w:pPr>
    </w:p>
    <w:p w14:paraId="1A1AA014" w14:textId="77777777" w:rsidR="00D219FA" w:rsidRDefault="00D219FA" w:rsidP="00D219FA">
      <w:pPr>
        <w:spacing w:line="300" w:lineRule="auto"/>
        <w:jc w:val="both"/>
        <w:rPr>
          <w:rFonts w:cs="Arial"/>
          <w:b/>
          <w:bCs/>
        </w:rPr>
      </w:pPr>
    </w:p>
    <w:p w14:paraId="0A7BE853" w14:textId="77777777" w:rsidR="00D219FA" w:rsidRDefault="00D219FA" w:rsidP="00D219FA">
      <w:pPr>
        <w:rPr>
          <w:lang w:eastAsia="en-AU"/>
        </w:rPr>
      </w:pPr>
    </w:p>
    <w:p w14:paraId="4E8C6F73" w14:textId="77777777" w:rsidR="00D219FA" w:rsidRDefault="00D219FA" w:rsidP="00D219FA">
      <w:pPr>
        <w:rPr>
          <w:lang w:eastAsia="en-AU"/>
        </w:rPr>
      </w:pPr>
    </w:p>
    <w:p w14:paraId="7C9C6A90" w14:textId="77777777" w:rsidR="00D219FA" w:rsidRDefault="00D219FA" w:rsidP="00D219FA">
      <w:pPr>
        <w:spacing w:line="300" w:lineRule="auto"/>
        <w:jc w:val="both"/>
        <w:rPr>
          <w:rFonts w:cs="Arial"/>
          <w:b/>
          <w:bCs/>
        </w:rPr>
      </w:pPr>
    </w:p>
    <w:p w14:paraId="17B103B6" w14:textId="77777777" w:rsidR="00D219FA" w:rsidRDefault="00D219FA" w:rsidP="00D219FA">
      <w:pPr>
        <w:spacing w:line="300" w:lineRule="auto"/>
        <w:jc w:val="both"/>
        <w:rPr>
          <w:rFonts w:cs="Arial"/>
          <w:b/>
          <w:bCs/>
        </w:rPr>
      </w:pPr>
    </w:p>
    <w:p w14:paraId="7CE81815" w14:textId="77777777" w:rsidR="00D219FA" w:rsidRDefault="00D219FA" w:rsidP="00D219FA">
      <w:pPr>
        <w:spacing w:line="300" w:lineRule="auto"/>
        <w:jc w:val="both"/>
        <w:rPr>
          <w:rFonts w:cs="Arial"/>
          <w:b/>
          <w:bCs/>
        </w:rPr>
      </w:pPr>
    </w:p>
    <w:p w14:paraId="6EF0DBF5" w14:textId="77777777" w:rsidR="00D219FA" w:rsidRDefault="00D219FA" w:rsidP="00D219FA">
      <w:pPr>
        <w:spacing w:line="300" w:lineRule="auto"/>
        <w:jc w:val="both"/>
        <w:rPr>
          <w:rFonts w:cs="Arial"/>
          <w:b/>
          <w:bCs/>
        </w:rPr>
      </w:pPr>
    </w:p>
    <w:p w14:paraId="2933296F" w14:textId="77777777" w:rsidR="00D219FA" w:rsidRDefault="00D219FA" w:rsidP="00D219FA">
      <w:pPr>
        <w:spacing w:line="300" w:lineRule="auto"/>
        <w:jc w:val="both"/>
        <w:rPr>
          <w:rFonts w:cs="Arial"/>
          <w:b/>
          <w:bCs/>
        </w:rPr>
      </w:pPr>
    </w:p>
    <w:p w14:paraId="2AC962AA" w14:textId="77777777" w:rsidR="00D219FA" w:rsidRDefault="00D219FA" w:rsidP="00D219FA">
      <w:pPr>
        <w:spacing w:line="300" w:lineRule="auto"/>
        <w:jc w:val="both"/>
        <w:rPr>
          <w:rFonts w:cs="Arial"/>
          <w:b/>
          <w:bCs/>
        </w:rPr>
      </w:pPr>
    </w:p>
    <w:p w14:paraId="0ADAD759" w14:textId="77777777" w:rsidR="00D219FA" w:rsidRDefault="00D219FA" w:rsidP="00D219FA">
      <w:pPr>
        <w:spacing w:line="300" w:lineRule="auto"/>
        <w:jc w:val="both"/>
        <w:rPr>
          <w:rFonts w:cs="Arial"/>
          <w:b/>
          <w:bCs/>
        </w:rPr>
      </w:pPr>
    </w:p>
    <w:p w14:paraId="08841EAB" w14:textId="77777777" w:rsidR="00D219FA" w:rsidRDefault="00D219FA" w:rsidP="00D219FA">
      <w:pPr>
        <w:spacing w:line="300" w:lineRule="auto"/>
        <w:jc w:val="both"/>
        <w:rPr>
          <w:rFonts w:cs="Arial"/>
          <w:b/>
          <w:bCs/>
        </w:rPr>
      </w:pPr>
    </w:p>
    <w:p w14:paraId="4F99357A" w14:textId="77777777" w:rsidR="00D219FA" w:rsidRDefault="00D219FA" w:rsidP="00D219FA">
      <w:pPr>
        <w:spacing w:line="300" w:lineRule="auto"/>
        <w:jc w:val="both"/>
        <w:rPr>
          <w:rFonts w:cs="Arial"/>
          <w:b/>
          <w:bCs/>
        </w:rPr>
      </w:pPr>
    </w:p>
    <w:p w14:paraId="43A55B5E" w14:textId="1C6AC9BB" w:rsidR="00D219FA" w:rsidRPr="00FB5BBD" w:rsidRDefault="00D219FA" w:rsidP="00D219FA">
      <w:pPr>
        <w:pStyle w:val="Heading3"/>
      </w:pPr>
      <w:bookmarkStart w:id="10" w:name="_Toc192499390"/>
      <w:r>
        <w:t xml:space="preserve">1.2.2 </w:t>
      </w:r>
      <w:r w:rsidRPr="00FB5BBD">
        <w:t xml:space="preserve">Setting of </w:t>
      </w:r>
      <w:r w:rsidR="0004025A">
        <w:t>r</w:t>
      </w:r>
      <w:r w:rsidRPr="00FB5BBD">
        <w:t xml:space="preserve">atio </w:t>
      </w:r>
      <w:r w:rsidR="0004025A">
        <w:t>t</w:t>
      </w:r>
      <w:r w:rsidRPr="00FB5BBD">
        <w:t>hresholds</w:t>
      </w:r>
      <w:bookmarkEnd w:id="10"/>
      <w:r w:rsidRPr="00FB5BBD">
        <w:t xml:space="preserve">  </w:t>
      </w:r>
    </w:p>
    <w:p w14:paraId="39AEFB04" w14:textId="77777777" w:rsidR="00D219FA" w:rsidRPr="00D219FA" w:rsidRDefault="00D219FA" w:rsidP="00D219FA">
      <w:r w:rsidRPr="00D219FA">
        <w:t xml:space="preserve">The collective opinion of the Steering Panel and the WALGA Financial Ratios Working Group was canvassed when deliberating the settings for ratio thresholds, </w:t>
      </w:r>
      <w:proofErr w:type="gramStart"/>
      <w:r w:rsidRPr="00D219FA">
        <w:t>in order to</w:t>
      </w:r>
      <w:proofErr w:type="gramEnd"/>
      <w:r w:rsidRPr="00D219FA">
        <w:t xml:space="preserve"> ensure that the adopted thresholds reflect the expert opinion of LG financial professionals. </w:t>
      </w:r>
    </w:p>
    <w:p w14:paraId="08E0A871" w14:textId="77777777" w:rsidR="00D219FA" w:rsidRPr="00D219FA" w:rsidRDefault="00D219FA" w:rsidP="00D219FA">
      <w:pPr>
        <w:pStyle w:val="Listbullet"/>
      </w:pPr>
      <w:r w:rsidRPr="00D219FA">
        <w:t xml:space="preserve">For each ratio, three thresholds were set which in essence reflect collective opinion regarding what constitutes a good (“High”) result, a pass (“Benchmark”) result and a sub-standard (“Low”) result. </w:t>
      </w:r>
    </w:p>
    <w:p w14:paraId="2DAA9E51" w14:textId="77777777" w:rsidR="00D219FA" w:rsidRPr="00D219FA" w:rsidRDefault="00D219FA" w:rsidP="00D219FA">
      <w:pPr>
        <w:pStyle w:val="Listbullet"/>
      </w:pPr>
      <w:r w:rsidRPr="00D219FA">
        <w:t xml:space="preserve">In the overall construct of the three thresholds for each ratio, focus was not placed on trying to “fit” ratio results for the LG cohort to a normal (or Bell Curve) distribution profile – rather, the intent was to set meaningful and appropriate thresholds. </w:t>
      </w:r>
    </w:p>
    <w:p w14:paraId="058843CC" w14:textId="77777777" w:rsidR="00D219FA" w:rsidRPr="00D219FA" w:rsidRDefault="00D219FA" w:rsidP="00D219FA">
      <w:pPr>
        <w:pStyle w:val="Listbullet"/>
      </w:pPr>
      <w:r w:rsidRPr="00D219FA">
        <w:t xml:space="preserve">The “High” result threshold was selected with a view to enabling visibility / early warning of those LGs whose ratio scores – while still above the benchmark – might be starting on a downward trend. </w:t>
      </w:r>
    </w:p>
    <w:p w14:paraId="579DAFB1" w14:textId="06B73950" w:rsidR="00D219FA" w:rsidRDefault="00D219FA" w:rsidP="00D219FA">
      <w:pPr>
        <w:pStyle w:val="Heading3"/>
      </w:pPr>
      <w:bookmarkStart w:id="11" w:name="_Toc192499391"/>
      <w:r>
        <w:lastRenderedPageBreak/>
        <w:t xml:space="preserve">1.2.3 Ratio </w:t>
      </w:r>
      <w:r w:rsidR="0004025A">
        <w:t>s</w:t>
      </w:r>
      <w:r>
        <w:t xml:space="preserve">core </w:t>
      </w:r>
      <w:r w:rsidR="0004025A">
        <w:t>m</w:t>
      </w:r>
      <w:r>
        <w:t>apping</w:t>
      </w:r>
      <w:bookmarkEnd w:id="11"/>
      <w:r w:rsidRPr="00FB5BBD">
        <w:t xml:space="preserve"> </w:t>
      </w:r>
    </w:p>
    <w:p w14:paraId="5769F72F" w14:textId="77777777" w:rsidR="00D219FA" w:rsidRPr="00D219FA" w:rsidRDefault="00D219FA" w:rsidP="00D219FA">
      <w:r w:rsidRPr="00D219FA">
        <w:t>Ratio values are then converted to ratio scores using a mapping scale developed in consultation with the steering committee.</w:t>
      </w:r>
    </w:p>
    <w:p w14:paraId="173CB6C5" w14:textId="77777777" w:rsidR="00D219FA" w:rsidRDefault="00D219FA" w:rsidP="00D219FA">
      <w:bookmarkStart w:id="12" w:name="_Toc442946964"/>
      <w:r w:rsidRPr="009E613C">
        <w:t xml:space="preserve">The ratio </w:t>
      </w:r>
      <w:r>
        <w:t>value mapping function</w:t>
      </w:r>
      <w:r w:rsidRPr="009E613C">
        <w:t xml:space="preserve"> adopted for the LGFI (</w:t>
      </w:r>
      <w:proofErr w:type="gramStart"/>
      <w:r w:rsidRPr="009E613C">
        <w:t>similar to</w:t>
      </w:r>
      <w:proofErr w:type="gramEnd"/>
      <w:r w:rsidRPr="009E613C">
        <w:t xml:space="preserve"> </w:t>
      </w:r>
      <w:r>
        <w:t xml:space="preserve">that of </w:t>
      </w:r>
      <w:r w:rsidRPr="009E613C">
        <w:t>the FHI) is piecewise-linear, implying that scoring is asymmetric either side of a benchmark</w:t>
      </w:r>
      <w:r>
        <w:t>,</w:t>
      </w:r>
      <w:r w:rsidRPr="009E613C">
        <w:t xml:space="preserve"> as illustrated in the example below:</w:t>
      </w:r>
    </w:p>
    <w:p w14:paraId="0F3C5E3D" w14:textId="77777777" w:rsidR="00D219FA" w:rsidRPr="004D2497" w:rsidRDefault="00D219FA" w:rsidP="00D219FA">
      <w:pPr>
        <w:spacing w:line="300" w:lineRule="auto"/>
        <w:jc w:val="both"/>
        <w:rPr>
          <w:rFonts w:cs="Arial"/>
        </w:rPr>
      </w:pPr>
      <w:r>
        <w:rPr>
          <w:rFonts w:cs="Arial"/>
          <w:b/>
          <w:bCs/>
        </w:rPr>
        <w:t>Figure 1</w:t>
      </w:r>
      <w:r w:rsidRPr="004D2497">
        <w:rPr>
          <w:rFonts w:cs="Arial"/>
          <w:b/>
          <w:bCs/>
        </w:rPr>
        <w:t xml:space="preserve">: </w:t>
      </w:r>
      <w:r w:rsidRPr="004D2497">
        <w:rPr>
          <w:rFonts w:cs="Arial"/>
        </w:rPr>
        <w:t xml:space="preserve">LGFI </w:t>
      </w:r>
      <w:r>
        <w:rPr>
          <w:rFonts w:cs="Arial"/>
        </w:rPr>
        <w:t>Ratio Score Mapping (Current Ratio)</w:t>
      </w:r>
    </w:p>
    <w:p w14:paraId="19F80641" w14:textId="77777777" w:rsidR="00D219FA" w:rsidRDefault="00D219FA" w:rsidP="00D219FA">
      <w:pPr>
        <w:spacing w:line="300" w:lineRule="auto"/>
        <w:jc w:val="both"/>
        <w:rPr>
          <w:b/>
          <w:bCs/>
          <w:lang w:eastAsia="en-AU"/>
        </w:rPr>
      </w:pPr>
      <w:r>
        <w:rPr>
          <w:noProof/>
        </w:rPr>
        <w:drawing>
          <wp:inline distT="0" distB="0" distL="0" distR="0" wp14:anchorId="7B5F5828" wp14:editId="13C5F709">
            <wp:extent cx="6153150" cy="3209925"/>
            <wp:effectExtent l="19050" t="19050" r="19050" b="28575"/>
            <wp:docPr id="1894359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59384" name=""/>
                    <pic:cNvPicPr/>
                  </pic:nvPicPr>
                  <pic:blipFill rotWithShape="1">
                    <a:blip r:embed="rId18"/>
                    <a:srcRect l="1059" t="1429" r="1170" b="2211"/>
                    <a:stretch/>
                  </pic:blipFill>
                  <pic:spPr bwMode="auto">
                    <a:xfrm>
                      <a:off x="0" y="0"/>
                      <a:ext cx="6153150" cy="32099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B14B903" w14:textId="77777777" w:rsidR="00D219FA" w:rsidRPr="009E613C" w:rsidRDefault="00D219FA" w:rsidP="00D219FA">
      <w:r w:rsidRPr="009E613C">
        <w:t xml:space="preserve">The adoption of an asymmetric scoring system enables the proposed LGFI – </w:t>
      </w:r>
      <w:proofErr w:type="gramStart"/>
      <w:r w:rsidRPr="009E613C">
        <w:t>similar to</w:t>
      </w:r>
      <w:proofErr w:type="gramEnd"/>
      <w:r w:rsidRPr="009E613C">
        <w:t xml:space="preserve"> the </w:t>
      </w:r>
      <w:r>
        <w:t>previous</w:t>
      </w:r>
      <w:r w:rsidRPr="009E613C">
        <w:t xml:space="preserve"> FHI – to limit the range of scores above the Benchmark, so that LGs are not unduly rewarded for exceeding what is considered by expert consensus opinion to be an acceptable score.</w:t>
      </w:r>
    </w:p>
    <w:p w14:paraId="450A9A48" w14:textId="77777777" w:rsidR="00D219FA" w:rsidRDefault="00D219FA" w:rsidP="00D219FA">
      <w:r w:rsidRPr="009E613C">
        <w:t>The only variance between the proposed LGFI scoring system and that of the FHI is the adjustment of the scoring range: the LGFI has adopted a range of 1-10, whereas the FHI use</w:t>
      </w:r>
      <w:r>
        <w:t>d</w:t>
      </w:r>
      <w:r w:rsidRPr="009E613C">
        <w:t xml:space="preserve"> a range of 0-10. The Steering Committee felt that the substitution of a minimum score of 1 was preferred from a perception standpoint.</w:t>
      </w:r>
    </w:p>
    <w:p w14:paraId="191440EE" w14:textId="77777777" w:rsidR="00E22394" w:rsidRDefault="00E22394">
      <w:pPr>
        <w:spacing w:after="160" w:line="278" w:lineRule="auto"/>
        <w:rPr>
          <w:rFonts w:ascii="Aptos SemiBold" w:eastAsiaTheme="majorEastAsia" w:hAnsi="Aptos SemiBold" w:cstheme="majorBidi"/>
          <w:sz w:val="28"/>
          <w:szCs w:val="28"/>
        </w:rPr>
      </w:pPr>
      <w:r>
        <w:br w:type="page"/>
      </w:r>
    </w:p>
    <w:p w14:paraId="42CD8F1A" w14:textId="3FE20A99" w:rsidR="00D219FA" w:rsidRDefault="00D219FA" w:rsidP="00D219FA">
      <w:pPr>
        <w:pStyle w:val="Heading3"/>
      </w:pPr>
      <w:bookmarkStart w:id="13" w:name="_Toc192499392"/>
      <w:r>
        <w:lastRenderedPageBreak/>
        <w:t xml:space="preserve">1.2.4 Ratio </w:t>
      </w:r>
      <w:r w:rsidR="0004025A">
        <w:t>w</w:t>
      </w:r>
      <w:r>
        <w:t>eighting</w:t>
      </w:r>
      <w:bookmarkEnd w:id="13"/>
    </w:p>
    <w:p w14:paraId="62F7B534" w14:textId="77777777" w:rsidR="00D219FA" w:rsidRPr="00D219FA" w:rsidRDefault="00D219FA" w:rsidP="00D219FA">
      <w:r w:rsidRPr="00D219FA">
        <w:t xml:space="preserve">Each mapped ratio score is then weighted by multiplying the ratio score by a weighting indicator developed in consultation with the steering committee </w:t>
      </w:r>
      <w:proofErr w:type="gramStart"/>
      <w:r w:rsidRPr="00D219FA">
        <w:t>in order to</w:t>
      </w:r>
      <w:proofErr w:type="gramEnd"/>
      <w:r w:rsidRPr="00D219FA">
        <w:t xml:space="preserve"> better reflect the relative importance of each ratio’s contribution to an aggregate LGFI score.</w:t>
      </w:r>
    </w:p>
    <w:p w14:paraId="27208EEE" w14:textId="77777777" w:rsidR="00D219FA" w:rsidRPr="00AE2C7A" w:rsidRDefault="00D219FA" w:rsidP="00D219FA">
      <w:pPr>
        <w:spacing w:line="300" w:lineRule="auto"/>
        <w:jc w:val="both"/>
        <w:rPr>
          <w:rFonts w:cs="Arial"/>
          <w:b/>
          <w:bCs/>
        </w:rPr>
      </w:pPr>
      <w:r w:rsidRPr="00AE2C7A">
        <w:rPr>
          <w:rFonts w:cs="Arial"/>
          <w:b/>
          <w:bCs/>
        </w:rPr>
        <w:t xml:space="preserve">Table </w:t>
      </w:r>
      <w:r>
        <w:rPr>
          <w:rFonts w:cs="Arial"/>
          <w:b/>
          <w:bCs/>
        </w:rPr>
        <w:t>2</w:t>
      </w:r>
      <w:r w:rsidRPr="00AE2C7A">
        <w:rPr>
          <w:rFonts w:cs="Arial"/>
          <w:b/>
          <w:bCs/>
        </w:rPr>
        <w:t xml:space="preserve">: </w:t>
      </w:r>
      <w:r w:rsidRPr="0070081A">
        <w:rPr>
          <w:rFonts w:cs="Arial"/>
        </w:rPr>
        <w:t>LGFI Ratio</w:t>
      </w:r>
      <w:r>
        <w:rPr>
          <w:rFonts w:cs="Arial"/>
        </w:rPr>
        <w:t xml:space="preserve"> Thresholds, Scores and Weights</w:t>
      </w: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275"/>
        <w:gridCol w:w="1134"/>
        <w:gridCol w:w="1134"/>
        <w:gridCol w:w="1276"/>
        <w:gridCol w:w="1134"/>
        <w:gridCol w:w="1389"/>
      </w:tblGrid>
      <w:tr w:rsidR="00D219FA" w:rsidRPr="00CC5449" w14:paraId="2D29AC66" w14:textId="77777777" w:rsidTr="002B0F76">
        <w:trPr>
          <w:trHeight w:val="294"/>
        </w:trPr>
        <w:tc>
          <w:tcPr>
            <w:tcW w:w="1985" w:type="dxa"/>
            <w:shd w:val="clear" w:color="auto" w:fill="0070C0"/>
          </w:tcPr>
          <w:p w14:paraId="2717F6F0" w14:textId="77777777" w:rsidR="00D219FA" w:rsidRPr="00280F9D" w:rsidRDefault="00D219FA" w:rsidP="002B0F76">
            <w:pPr>
              <w:spacing w:after="0"/>
              <w:jc w:val="center"/>
              <w:rPr>
                <w:rFonts w:cs="Arial"/>
                <w:b/>
                <w:bCs/>
                <w:color w:val="FFFFFF" w:themeColor="background1"/>
                <w:sz w:val="20"/>
                <w:szCs w:val="20"/>
              </w:rPr>
            </w:pPr>
            <w:r w:rsidRPr="00280F9D">
              <w:rPr>
                <w:rFonts w:cs="Arial"/>
                <w:b/>
                <w:bCs/>
                <w:color w:val="FFFFFF" w:themeColor="background1"/>
                <w:sz w:val="20"/>
                <w:szCs w:val="20"/>
              </w:rPr>
              <w:t>Ratio</w:t>
            </w:r>
          </w:p>
        </w:tc>
        <w:tc>
          <w:tcPr>
            <w:tcW w:w="3685" w:type="dxa"/>
            <w:gridSpan w:val="3"/>
            <w:shd w:val="clear" w:color="auto" w:fill="0070C0"/>
          </w:tcPr>
          <w:p w14:paraId="5D690AAF" w14:textId="77777777" w:rsidR="00D219FA" w:rsidRPr="0070081A" w:rsidRDefault="00D219FA" w:rsidP="002B0F76">
            <w:pPr>
              <w:spacing w:after="0"/>
              <w:jc w:val="center"/>
              <w:rPr>
                <w:rFonts w:cs="Arial"/>
                <w:b/>
                <w:bCs/>
                <w:color w:val="FFFFFF" w:themeColor="background1"/>
                <w:sz w:val="20"/>
                <w:szCs w:val="20"/>
              </w:rPr>
            </w:pPr>
            <w:r w:rsidRPr="0070081A">
              <w:rPr>
                <w:rFonts w:cs="Arial"/>
                <w:b/>
                <w:bCs/>
                <w:color w:val="FFFFFF" w:themeColor="background1"/>
                <w:sz w:val="20"/>
                <w:szCs w:val="20"/>
              </w:rPr>
              <w:t>Ratio Thresholds</w:t>
            </w:r>
          </w:p>
        </w:tc>
        <w:tc>
          <w:tcPr>
            <w:tcW w:w="3544" w:type="dxa"/>
            <w:gridSpan w:val="3"/>
            <w:shd w:val="clear" w:color="auto" w:fill="0070C0"/>
          </w:tcPr>
          <w:p w14:paraId="21CBCFF1" w14:textId="77777777" w:rsidR="00D219FA" w:rsidRPr="0070081A" w:rsidRDefault="00D219FA" w:rsidP="002B0F76">
            <w:pPr>
              <w:spacing w:after="0" w:line="300" w:lineRule="auto"/>
              <w:jc w:val="center"/>
              <w:rPr>
                <w:rFonts w:cs="Arial"/>
                <w:b/>
                <w:bCs/>
                <w:color w:val="FFFFFF" w:themeColor="background1"/>
                <w:sz w:val="20"/>
                <w:szCs w:val="20"/>
              </w:rPr>
            </w:pPr>
            <w:r w:rsidRPr="0070081A">
              <w:rPr>
                <w:rFonts w:cs="Arial"/>
                <w:b/>
                <w:bCs/>
                <w:color w:val="FFFFFF" w:themeColor="background1"/>
                <w:sz w:val="20"/>
                <w:szCs w:val="20"/>
              </w:rPr>
              <w:t>Ratio Scores</w:t>
            </w:r>
          </w:p>
        </w:tc>
        <w:tc>
          <w:tcPr>
            <w:tcW w:w="1389" w:type="dxa"/>
            <w:shd w:val="clear" w:color="auto" w:fill="0070C0"/>
          </w:tcPr>
          <w:p w14:paraId="22F50767" w14:textId="77777777" w:rsidR="00D219FA" w:rsidRPr="0070081A" w:rsidRDefault="00D219FA" w:rsidP="002B0F76">
            <w:pPr>
              <w:spacing w:after="0" w:line="300" w:lineRule="auto"/>
              <w:jc w:val="center"/>
              <w:rPr>
                <w:rFonts w:cs="Arial"/>
                <w:b/>
                <w:bCs/>
                <w:color w:val="FFFFFF" w:themeColor="background1"/>
                <w:sz w:val="20"/>
                <w:szCs w:val="20"/>
              </w:rPr>
            </w:pPr>
            <w:r w:rsidRPr="0070081A">
              <w:rPr>
                <w:rFonts w:cs="Arial"/>
                <w:b/>
                <w:bCs/>
                <w:color w:val="FFFFFF" w:themeColor="background1"/>
                <w:sz w:val="20"/>
                <w:szCs w:val="20"/>
              </w:rPr>
              <w:t>Ratio Weighting</w:t>
            </w:r>
          </w:p>
        </w:tc>
      </w:tr>
      <w:tr w:rsidR="00D219FA" w:rsidRPr="00CC5449" w14:paraId="60F2BB7B" w14:textId="77777777" w:rsidTr="002B0F76">
        <w:trPr>
          <w:trHeight w:val="294"/>
        </w:trPr>
        <w:tc>
          <w:tcPr>
            <w:tcW w:w="1985" w:type="dxa"/>
          </w:tcPr>
          <w:p w14:paraId="32C77E73" w14:textId="77777777" w:rsidR="00D219FA" w:rsidRPr="00CC5449" w:rsidRDefault="00D219FA" w:rsidP="002B0F76">
            <w:pPr>
              <w:spacing w:after="0"/>
              <w:jc w:val="both"/>
              <w:rPr>
                <w:rFonts w:cs="Arial"/>
                <w:sz w:val="20"/>
                <w:szCs w:val="20"/>
              </w:rPr>
            </w:pPr>
          </w:p>
        </w:tc>
        <w:tc>
          <w:tcPr>
            <w:tcW w:w="1276" w:type="dxa"/>
          </w:tcPr>
          <w:p w14:paraId="2A4AE0DD" w14:textId="77777777" w:rsidR="00D219FA" w:rsidRPr="00CC5449" w:rsidRDefault="00D219FA" w:rsidP="002B0F76">
            <w:pPr>
              <w:spacing w:after="0"/>
              <w:jc w:val="center"/>
              <w:rPr>
                <w:rFonts w:cs="Arial"/>
                <w:sz w:val="20"/>
                <w:szCs w:val="20"/>
              </w:rPr>
            </w:pPr>
            <w:r w:rsidRPr="00CC5449">
              <w:rPr>
                <w:rFonts w:cs="Arial"/>
                <w:b/>
                <w:bCs/>
                <w:sz w:val="20"/>
                <w:szCs w:val="20"/>
              </w:rPr>
              <w:t>Low</w:t>
            </w:r>
          </w:p>
          <w:p w14:paraId="15A14505" w14:textId="77777777" w:rsidR="00D219FA" w:rsidRPr="00CC5449" w:rsidRDefault="00D219FA" w:rsidP="002B0F76">
            <w:pPr>
              <w:spacing w:after="0"/>
              <w:jc w:val="center"/>
              <w:rPr>
                <w:rFonts w:cs="Arial"/>
                <w:sz w:val="20"/>
                <w:szCs w:val="20"/>
              </w:rPr>
            </w:pPr>
            <w:r w:rsidRPr="00CC5449">
              <w:rPr>
                <w:rFonts w:cs="Arial"/>
                <w:b/>
                <w:bCs/>
                <w:sz w:val="20"/>
                <w:szCs w:val="20"/>
              </w:rPr>
              <w:t>Threshold</w:t>
            </w:r>
          </w:p>
        </w:tc>
        <w:tc>
          <w:tcPr>
            <w:tcW w:w="1275" w:type="dxa"/>
          </w:tcPr>
          <w:p w14:paraId="66E19646" w14:textId="77777777" w:rsidR="00D219FA" w:rsidRPr="00CC5449" w:rsidRDefault="00D219FA" w:rsidP="002B0F76">
            <w:pPr>
              <w:spacing w:after="0"/>
              <w:jc w:val="center"/>
              <w:rPr>
                <w:rFonts w:cs="Arial"/>
                <w:sz w:val="20"/>
                <w:szCs w:val="20"/>
              </w:rPr>
            </w:pPr>
            <w:r w:rsidRPr="00CC5449">
              <w:rPr>
                <w:rFonts w:cs="Arial"/>
                <w:b/>
                <w:bCs/>
                <w:sz w:val="20"/>
                <w:szCs w:val="20"/>
              </w:rPr>
              <w:t>Benchmark</w:t>
            </w:r>
          </w:p>
          <w:p w14:paraId="774EE3E0" w14:textId="77777777" w:rsidR="00D219FA" w:rsidRPr="00CC5449" w:rsidRDefault="00D219FA" w:rsidP="002B0F76">
            <w:pPr>
              <w:spacing w:after="0"/>
              <w:jc w:val="center"/>
              <w:rPr>
                <w:rFonts w:cs="Arial"/>
                <w:sz w:val="20"/>
                <w:szCs w:val="20"/>
              </w:rPr>
            </w:pPr>
            <w:r w:rsidRPr="00CC5449">
              <w:rPr>
                <w:rFonts w:cs="Arial"/>
                <w:b/>
                <w:bCs/>
                <w:sz w:val="20"/>
                <w:szCs w:val="20"/>
              </w:rPr>
              <w:t>(“Pass”) Threshold</w:t>
            </w:r>
          </w:p>
        </w:tc>
        <w:tc>
          <w:tcPr>
            <w:tcW w:w="1134" w:type="dxa"/>
          </w:tcPr>
          <w:p w14:paraId="28891085" w14:textId="77777777" w:rsidR="00D219FA" w:rsidRPr="00CC5449" w:rsidRDefault="00D219FA" w:rsidP="002B0F76">
            <w:pPr>
              <w:spacing w:after="0"/>
              <w:jc w:val="center"/>
              <w:rPr>
                <w:rFonts w:cs="Arial"/>
                <w:sz w:val="20"/>
                <w:szCs w:val="20"/>
              </w:rPr>
            </w:pPr>
            <w:r w:rsidRPr="00CC5449">
              <w:rPr>
                <w:rFonts w:cs="Arial"/>
                <w:b/>
                <w:bCs/>
                <w:sz w:val="20"/>
                <w:szCs w:val="20"/>
              </w:rPr>
              <w:t>High</w:t>
            </w:r>
          </w:p>
          <w:p w14:paraId="2D4B99CE" w14:textId="77777777" w:rsidR="00D219FA" w:rsidRPr="00CC5449" w:rsidRDefault="00D219FA" w:rsidP="002B0F76">
            <w:pPr>
              <w:spacing w:after="0"/>
              <w:jc w:val="center"/>
              <w:rPr>
                <w:rFonts w:cs="Arial"/>
                <w:sz w:val="20"/>
                <w:szCs w:val="20"/>
              </w:rPr>
            </w:pPr>
            <w:r w:rsidRPr="00CC5449">
              <w:rPr>
                <w:rFonts w:cs="Arial"/>
                <w:b/>
                <w:bCs/>
                <w:sz w:val="20"/>
                <w:szCs w:val="20"/>
              </w:rPr>
              <w:t>Threshold</w:t>
            </w:r>
          </w:p>
        </w:tc>
        <w:tc>
          <w:tcPr>
            <w:tcW w:w="1134" w:type="dxa"/>
          </w:tcPr>
          <w:p w14:paraId="4858455C" w14:textId="77777777" w:rsidR="00D219FA" w:rsidRPr="00CC5449" w:rsidRDefault="00D219FA" w:rsidP="002B0F76">
            <w:pPr>
              <w:spacing w:after="0" w:line="300" w:lineRule="auto"/>
              <w:jc w:val="center"/>
              <w:rPr>
                <w:rFonts w:cs="Arial"/>
                <w:sz w:val="20"/>
                <w:szCs w:val="20"/>
              </w:rPr>
            </w:pPr>
            <w:r w:rsidRPr="00CC5449">
              <w:rPr>
                <w:rFonts w:cs="Arial"/>
                <w:b/>
                <w:bCs/>
                <w:sz w:val="20"/>
                <w:szCs w:val="20"/>
              </w:rPr>
              <w:t>Minimum Score</w:t>
            </w:r>
          </w:p>
        </w:tc>
        <w:tc>
          <w:tcPr>
            <w:tcW w:w="1276" w:type="dxa"/>
          </w:tcPr>
          <w:p w14:paraId="7D69A5DF" w14:textId="77777777" w:rsidR="00D219FA" w:rsidRPr="00CC5449" w:rsidRDefault="00D219FA" w:rsidP="002B0F76">
            <w:pPr>
              <w:spacing w:after="0" w:line="300" w:lineRule="auto"/>
              <w:jc w:val="center"/>
              <w:rPr>
                <w:rFonts w:cs="Arial"/>
                <w:sz w:val="20"/>
                <w:szCs w:val="20"/>
              </w:rPr>
            </w:pPr>
            <w:r w:rsidRPr="00CC5449">
              <w:rPr>
                <w:rFonts w:cs="Arial"/>
                <w:b/>
                <w:bCs/>
                <w:sz w:val="20"/>
                <w:szCs w:val="20"/>
              </w:rPr>
              <w:t>Benchmark (“Pass”) Score</w:t>
            </w:r>
          </w:p>
        </w:tc>
        <w:tc>
          <w:tcPr>
            <w:tcW w:w="1134" w:type="dxa"/>
          </w:tcPr>
          <w:p w14:paraId="590D58D7" w14:textId="77777777" w:rsidR="00D219FA" w:rsidRPr="00CC5449" w:rsidRDefault="00D219FA" w:rsidP="002B0F76">
            <w:pPr>
              <w:spacing w:after="0" w:line="300" w:lineRule="auto"/>
              <w:jc w:val="center"/>
              <w:rPr>
                <w:rFonts w:cs="Arial"/>
                <w:sz w:val="20"/>
                <w:szCs w:val="20"/>
              </w:rPr>
            </w:pPr>
            <w:r>
              <w:rPr>
                <w:rFonts w:cs="Arial"/>
                <w:b/>
                <w:bCs/>
                <w:sz w:val="20"/>
                <w:szCs w:val="20"/>
              </w:rPr>
              <w:t>Maximum</w:t>
            </w:r>
          </w:p>
          <w:p w14:paraId="7016219F" w14:textId="77777777" w:rsidR="00D219FA" w:rsidRPr="00CC5449" w:rsidRDefault="00D219FA" w:rsidP="002B0F76">
            <w:pPr>
              <w:spacing w:after="0" w:line="300" w:lineRule="auto"/>
              <w:jc w:val="center"/>
              <w:rPr>
                <w:rFonts w:cs="Arial"/>
                <w:sz w:val="20"/>
                <w:szCs w:val="20"/>
              </w:rPr>
            </w:pPr>
            <w:r w:rsidRPr="00CC5449">
              <w:rPr>
                <w:rFonts w:cs="Arial"/>
                <w:b/>
                <w:bCs/>
                <w:sz w:val="20"/>
                <w:szCs w:val="20"/>
              </w:rPr>
              <w:t>Score</w:t>
            </w:r>
          </w:p>
        </w:tc>
        <w:tc>
          <w:tcPr>
            <w:tcW w:w="1389" w:type="dxa"/>
          </w:tcPr>
          <w:p w14:paraId="1C14B1B9" w14:textId="77777777" w:rsidR="00D219FA" w:rsidRPr="00CC5449" w:rsidRDefault="00D219FA" w:rsidP="002B0F76">
            <w:pPr>
              <w:spacing w:after="0" w:line="300" w:lineRule="auto"/>
              <w:jc w:val="center"/>
              <w:rPr>
                <w:rFonts w:cs="Arial"/>
                <w:sz w:val="20"/>
                <w:szCs w:val="20"/>
              </w:rPr>
            </w:pPr>
            <w:r w:rsidRPr="00CC5449">
              <w:rPr>
                <w:rFonts w:cs="Arial"/>
                <w:b/>
                <w:bCs/>
                <w:sz w:val="20"/>
                <w:szCs w:val="20"/>
              </w:rPr>
              <w:t>Expert Consensus Weighting</w:t>
            </w:r>
          </w:p>
        </w:tc>
      </w:tr>
      <w:tr w:rsidR="00D219FA" w:rsidRPr="00CC5449" w14:paraId="34431289" w14:textId="77777777" w:rsidTr="002B0F76">
        <w:trPr>
          <w:trHeight w:val="84"/>
        </w:trPr>
        <w:tc>
          <w:tcPr>
            <w:tcW w:w="1985" w:type="dxa"/>
          </w:tcPr>
          <w:p w14:paraId="5B0F3D24" w14:textId="77777777" w:rsidR="00D219FA" w:rsidRPr="00CC5449" w:rsidRDefault="00D219FA" w:rsidP="002B0F76">
            <w:pPr>
              <w:spacing w:after="0"/>
              <w:rPr>
                <w:rFonts w:cs="Arial"/>
                <w:sz w:val="20"/>
                <w:szCs w:val="20"/>
              </w:rPr>
            </w:pPr>
            <w:r w:rsidRPr="00CC5449">
              <w:rPr>
                <w:rFonts w:cs="Arial"/>
                <w:b/>
                <w:bCs/>
                <w:sz w:val="20"/>
                <w:szCs w:val="20"/>
              </w:rPr>
              <w:t xml:space="preserve">Current </w:t>
            </w:r>
          </w:p>
        </w:tc>
        <w:tc>
          <w:tcPr>
            <w:tcW w:w="1276" w:type="dxa"/>
          </w:tcPr>
          <w:p w14:paraId="72A977A6" w14:textId="77777777" w:rsidR="00D219FA" w:rsidRPr="00CC5449" w:rsidRDefault="00D219FA" w:rsidP="002B0F76">
            <w:pPr>
              <w:spacing w:after="0"/>
              <w:jc w:val="center"/>
              <w:rPr>
                <w:rFonts w:cs="Arial"/>
                <w:sz w:val="20"/>
                <w:szCs w:val="20"/>
              </w:rPr>
            </w:pPr>
            <w:r w:rsidRPr="00CC5449">
              <w:rPr>
                <w:rFonts w:cs="Arial"/>
                <w:sz w:val="20"/>
                <w:szCs w:val="20"/>
              </w:rPr>
              <w:t>0.90</w:t>
            </w:r>
            <w:r>
              <w:rPr>
                <w:rFonts w:cs="Arial"/>
                <w:sz w:val="20"/>
                <w:szCs w:val="20"/>
              </w:rPr>
              <w:t>:1.00</w:t>
            </w:r>
          </w:p>
        </w:tc>
        <w:tc>
          <w:tcPr>
            <w:tcW w:w="1275" w:type="dxa"/>
          </w:tcPr>
          <w:p w14:paraId="6A6018E2" w14:textId="77777777" w:rsidR="00D219FA" w:rsidRPr="00CC5449" w:rsidRDefault="00D219FA" w:rsidP="002B0F76">
            <w:pPr>
              <w:spacing w:after="0"/>
              <w:jc w:val="center"/>
              <w:rPr>
                <w:rFonts w:cs="Arial"/>
                <w:sz w:val="20"/>
                <w:szCs w:val="20"/>
              </w:rPr>
            </w:pPr>
            <w:r w:rsidRPr="00CC5449">
              <w:rPr>
                <w:rFonts w:cs="Arial"/>
                <w:sz w:val="20"/>
                <w:szCs w:val="20"/>
              </w:rPr>
              <w:t>1.00</w:t>
            </w:r>
            <w:r>
              <w:rPr>
                <w:rFonts w:cs="Arial"/>
                <w:sz w:val="20"/>
                <w:szCs w:val="20"/>
              </w:rPr>
              <w:t>:1.00</w:t>
            </w:r>
          </w:p>
        </w:tc>
        <w:tc>
          <w:tcPr>
            <w:tcW w:w="1134" w:type="dxa"/>
          </w:tcPr>
          <w:p w14:paraId="03A7806E" w14:textId="77777777" w:rsidR="00D219FA" w:rsidRPr="00CC5449" w:rsidRDefault="00D219FA" w:rsidP="002B0F76">
            <w:pPr>
              <w:spacing w:after="0"/>
              <w:jc w:val="center"/>
              <w:rPr>
                <w:rFonts w:cs="Arial"/>
                <w:sz w:val="20"/>
                <w:szCs w:val="20"/>
              </w:rPr>
            </w:pPr>
            <w:r w:rsidRPr="00CC5449">
              <w:rPr>
                <w:rFonts w:cs="Arial"/>
                <w:sz w:val="20"/>
                <w:szCs w:val="20"/>
              </w:rPr>
              <w:t>1.10</w:t>
            </w:r>
            <w:r>
              <w:rPr>
                <w:rFonts w:cs="Arial"/>
                <w:sz w:val="20"/>
                <w:szCs w:val="20"/>
              </w:rPr>
              <w:t>:1.00</w:t>
            </w:r>
          </w:p>
        </w:tc>
        <w:tc>
          <w:tcPr>
            <w:tcW w:w="1134" w:type="dxa"/>
          </w:tcPr>
          <w:p w14:paraId="4BF6A5C5" w14:textId="77777777" w:rsidR="00D219FA" w:rsidRPr="00CC5449" w:rsidRDefault="00D219FA" w:rsidP="002B0F76">
            <w:pPr>
              <w:spacing w:after="0" w:line="300" w:lineRule="auto"/>
              <w:jc w:val="center"/>
              <w:rPr>
                <w:rFonts w:cs="Arial"/>
                <w:sz w:val="20"/>
                <w:szCs w:val="20"/>
              </w:rPr>
            </w:pPr>
            <w:r w:rsidRPr="00CC5449">
              <w:rPr>
                <w:rFonts w:cs="Arial"/>
                <w:sz w:val="20"/>
                <w:szCs w:val="20"/>
              </w:rPr>
              <w:t>1.0</w:t>
            </w:r>
          </w:p>
        </w:tc>
        <w:tc>
          <w:tcPr>
            <w:tcW w:w="1276" w:type="dxa"/>
          </w:tcPr>
          <w:p w14:paraId="50425E0B" w14:textId="77777777" w:rsidR="00D219FA" w:rsidRPr="00CC5449" w:rsidRDefault="00D219FA" w:rsidP="002B0F76">
            <w:pPr>
              <w:spacing w:after="0" w:line="300" w:lineRule="auto"/>
              <w:jc w:val="center"/>
              <w:rPr>
                <w:rFonts w:cs="Arial"/>
                <w:sz w:val="20"/>
                <w:szCs w:val="20"/>
              </w:rPr>
            </w:pPr>
            <w:r w:rsidRPr="00CC5449">
              <w:rPr>
                <w:rFonts w:cs="Arial"/>
                <w:sz w:val="20"/>
                <w:szCs w:val="20"/>
              </w:rPr>
              <w:t>7.0</w:t>
            </w:r>
          </w:p>
        </w:tc>
        <w:tc>
          <w:tcPr>
            <w:tcW w:w="1134" w:type="dxa"/>
          </w:tcPr>
          <w:p w14:paraId="1D1E9FEB" w14:textId="77777777" w:rsidR="00D219FA" w:rsidRPr="00CC5449" w:rsidRDefault="00D219FA" w:rsidP="002B0F76">
            <w:pPr>
              <w:spacing w:after="0" w:line="300" w:lineRule="auto"/>
              <w:jc w:val="center"/>
              <w:rPr>
                <w:rFonts w:cs="Arial"/>
                <w:sz w:val="20"/>
                <w:szCs w:val="20"/>
              </w:rPr>
            </w:pPr>
            <w:r w:rsidRPr="00CC5449">
              <w:rPr>
                <w:rFonts w:cs="Arial"/>
                <w:sz w:val="20"/>
                <w:szCs w:val="20"/>
              </w:rPr>
              <w:t>10.0</w:t>
            </w:r>
          </w:p>
        </w:tc>
        <w:tc>
          <w:tcPr>
            <w:tcW w:w="1389" w:type="dxa"/>
          </w:tcPr>
          <w:p w14:paraId="3AE9BEA2" w14:textId="77777777" w:rsidR="00D219FA" w:rsidRPr="00CC5449" w:rsidRDefault="00D219FA" w:rsidP="002B0F76">
            <w:pPr>
              <w:spacing w:after="0" w:line="300" w:lineRule="auto"/>
              <w:jc w:val="center"/>
              <w:rPr>
                <w:rFonts w:cs="Arial"/>
                <w:sz w:val="20"/>
                <w:szCs w:val="20"/>
              </w:rPr>
            </w:pPr>
            <w:r w:rsidRPr="00CC5449">
              <w:rPr>
                <w:rFonts w:cs="Arial"/>
                <w:sz w:val="20"/>
                <w:szCs w:val="20"/>
              </w:rPr>
              <w:t>10%</w:t>
            </w:r>
          </w:p>
        </w:tc>
      </w:tr>
      <w:tr w:rsidR="00D219FA" w:rsidRPr="00CC5449" w14:paraId="7B467536" w14:textId="77777777" w:rsidTr="002B0F76">
        <w:trPr>
          <w:trHeight w:val="84"/>
        </w:trPr>
        <w:tc>
          <w:tcPr>
            <w:tcW w:w="1985" w:type="dxa"/>
          </w:tcPr>
          <w:p w14:paraId="0C2AE8C4" w14:textId="77777777" w:rsidR="00D219FA" w:rsidRPr="00CC5449" w:rsidRDefault="00D219FA" w:rsidP="002B0F76">
            <w:pPr>
              <w:spacing w:after="0"/>
              <w:rPr>
                <w:rFonts w:cs="Arial"/>
                <w:b/>
                <w:bCs/>
                <w:sz w:val="20"/>
                <w:szCs w:val="20"/>
              </w:rPr>
            </w:pPr>
            <w:r w:rsidRPr="00CC5449">
              <w:rPr>
                <w:rFonts w:cs="Arial"/>
                <w:b/>
                <w:bCs/>
                <w:sz w:val="20"/>
                <w:szCs w:val="20"/>
              </w:rPr>
              <w:t>Debt</w:t>
            </w:r>
            <w:r>
              <w:rPr>
                <w:rFonts w:cs="Arial"/>
                <w:b/>
                <w:bCs/>
                <w:sz w:val="20"/>
                <w:szCs w:val="20"/>
              </w:rPr>
              <w:t xml:space="preserve"> </w:t>
            </w:r>
            <w:r w:rsidRPr="00CC5449">
              <w:rPr>
                <w:rFonts w:cs="Arial"/>
                <w:b/>
                <w:bCs/>
                <w:sz w:val="20"/>
                <w:szCs w:val="20"/>
              </w:rPr>
              <w:t>Service Cover</w:t>
            </w:r>
            <w:r>
              <w:rPr>
                <w:rFonts w:cs="Arial"/>
                <w:b/>
                <w:bCs/>
                <w:sz w:val="20"/>
                <w:szCs w:val="20"/>
              </w:rPr>
              <w:t>age</w:t>
            </w:r>
            <w:r w:rsidRPr="00CC5449">
              <w:rPr>
                <w:rFonts w:cs="Arial"/>
                <w:b/>
                <w:bCs/>
                <w:sz w:val="20"/>
                <w:szCs w:val="20"/>
              </w:rPr>
              <w:t xml:space="preserve"> </w:t>
            </w:r>
          </w:p>
        </w:tc>
        <w:tc>
          <w:tcPr>
            <w:tcW w:w="1276" w:type="dxa"/>
          </w:tcPr>
          <w:p w14:paraId="65305642" w14:textId="77777777" w:rsidR="00D219FA" w:rsidRPr="00CC5449" w:rsidRDefault="00D219FA" w:rsidP="002B0F76">
            <w:pPr>
              <w:spacing w:after="0"/>
              <w:jc w:val="center"/>
              <w:rPr>
                <w:rFonts w:cs="Arial"/>
                <w:sz w:val="20"/>
                <w:szCs w:val="20"/>
              </w:rPr>
            </w:pPr>
            <w:r w:rsidRPr="00CC5449">
              <w:rPr>
                <w:rFonts w:cs="Arial"/>
                <w:sz w:val="20"/>
                <w:szCs w:val="20"/>
              </w:rPr>
              <w:t>1.00</w:t>
            </w:r>
            <w:r>
              <w:rPr>
                <w:rFonts w:cs="Arial"/>
                <w:sz w:val="20"/>
                <w:szCs w:val="20"/>
              </w:rPr>
              <w:t>:1.00</w:t>
            </w:r>
          </w:p>
        </w:tc>
        <w:tc>
          <w:tcPr>
            <w:tcW w:w="1275" w:type="dxa"/>
          </w:tcPr>
          <w:p w14:paraId="0A69FE84" w14:textId="77777777" w:rsidR="00D219FA" w:rsidRPr="00CC5449" w:rsidRDefault="00D219FA" w:rsidP="002B0F76">
            <w:pPr>
              <w:spacing w:after="0"/>
              <w:jc w:val="center"/>
              <w:rPr>
                <w:rFonts w:cs="Arial"/>
                <w:sz w:val="20"/>
                <w:szCs w:val="20"/>
              </w:rPr>
            </w:pPr>
            <w:r w:rsidRPr="00CC5449">
              <w:rPr>
                <w:rFonts w:cs="Arial"/>
                <w:sz w:val="20"/>
                <w:szCs w:val="20"/>
              </w:rPr>
              <w:t>2.00</w:t>
            </w:r>
            <w:r>
              <w:rPr>
                <w:rFonts w:cs="Arial"/>
                <w:sz w:val="20"/>
                <w:szCs w:val="20"/>
              </w:rPr>
              <w:t>:1.00</w:t>
            </w:r>
          </w:p>
        </w:tc>
        <w:tc>
          <w:tcPr>
            <w:tcW w:w="1134" w:type="dxa"/>
          </w:tcPr>
          <w:p w14:paraId="1F55CDF2" w14:textId="77777777" w:rsidR="00D219FA" w:rsidRPr="00CC5449" w:rsidRDefault="00D219FA" w:rsidP="002B0F76">
            <w:pPr>
              <w:spacing w:after="0"/>
              <w:jc w:val="center"/>
              <w:rPr>
                <w:rFonts w:cs="Arial"/>
                <w:sz w:val="20"/>
                <w:szCs w:val="20"/>
              </w:rPr>
            </w:pPr>
            <w:r w:rsidRPr="00CC5449">
              <w:rPr>
                <w:rFonts w:cs="Arial"/>
                <w:sz w:val="20"/>
                <w:szCs w:val="20"/>
              </w:rPr>
              <w:t>5.</w:t>
            </w:r>
            <w:r>
              <w:rPr>
                <w:rFonts w:cs="Arial"/>
                <w:sz w:val="20"/>
                <w:szCs w:val="20"/>
              </w:rPr>
              <w:t>0</w:t>
            </w:r>
            <w:r w:rsidRPr="00CC5449">
              <w:rPr>
                <w:rFonts w:cs="Arial"/>
                <w:sz w:val="20"/>
                <w:szCs w:val="20"/>
              </w:rPr>
              <w:t>0</w:t>
            </w:r>
            <w:r>
              <w:rPr>
                <w:rFonts w:cs="Arial"/>
                <w:sz w:val="20"/>
                <w:szCs w:val="20"/>
              </w:rPr>
              <w:t>:1.00</w:t>
            </w:r>
          </w:p>
        </w:tc>
        <w:tc>
          <w:tcPr>
            <w:tcW w:w="1134" w:type="dxa"/>
          </w:tcPr>
          <w:p w14:paraId="39CA7509" w14:textId="77777777" w:rsidR="00D219FA" w:rsidRPr="00CC5449" w:rsidRDefault="00D219FA" w:rsidP="002B0F76">
            <w:pPr>
              <w:spacing w:after="0" w:line="300" w:lineRule="auto"/>
              <w:jc w:val="center"/>
              <w:rPr>
                <w:rFonts w:cs="Arial"/>
                <w:sz w:val="20"/>
                <w:szCs w:val="20"/>
              </w:rPr>
            </w:pPr>
            <w:r w:rsidRPr="00CC5449">
              <w:rPr>
                <w:rFonts w:cs="Arial"/>
                <w:sz w:val="20"/>
                <w:szCs w:val="20"/>
              </w:rPr>
              <w:t>1.0</w:t>
            </w:r>
          </w:p>
        </w:tc>
        <w:tc>
          <w:tcPr>
            <w:tcW w:w="1276" w:type="dxa"/>
          </w:tcPr>
          <w:p w14:paraId="26F8B5FC" w14:textId="77777777" w:rsidR="00D219FA" w:rsidRPr="00CC5449" w:rsidRDefault="00D219FA" w:rsidP="002B0F76">
            <w:pPr>
              <w:spacing w:after="0" w:line="300" w:lineRule="auto"/>
              <w:jc w:val="center"/>
              <w:rPr>
                <w:rFonts w:cs="Arial"/>
                <w:sz w:val="20"/>
                <w:szCs w:val="20"/>
              </w:rPr>
            </w:pPr>
            <w:r w:rsidRPr="00CC5449">
              <w:rPr>
                <w:rFonts w:cs="Arial"/>
                <w:sz w:val="20"/>
                <w:szCs w:val="20"/>
              </w:rPr>
              <w:t>7.0</w:t>
            </w:r>
          </w:p>
        </w:tc>
        <w:tc>
          <w:tcPr>
            <w:tcW w:w="1134" w:type="dxa"/>
          </w:tcPr>
          <w:p w14:paraId="2E6A449D" w14:textId="77777777" w:rsidR="00D219FA" w:rsidRPr="00CC5449" w:rsidRDefault="00D219FA" w:rsidP="002B0F76">
            <w:pPr>
              <w:spacing w:after="0" w:line="300" w:lineRule="auto"/>
              <w:jc w:val="center"/>
              <w:rPr>
                <w:rFonts w:cs="Arial"/>
                <w:sz w:val="20"/>
                <w:szCs w:val="20"/>
              </w:rPr>
            </w:pPr>
            <w:r w:rsidRPr="00CC5449">
              <w:rPr>
                <w:rFonts w:cs="Arial"/>
                <w:sz w:val="20"/>
                <w:szCs w:val="20"/>
              </w:rPr>
              <w:t>10.0</w:t>
            </w:r>
          </w:p>
        </w:tc>
        <w:tc>
          <w:tcPr>
            <w:tcW w:w="1389" w:type="dxa"/>
          </w:tcPr>
          <w:p w14:paraId="3DD6FA20" w14:textId="77777777" w:rsidR="00D219FA" w:rsidRPr="00CC5449" w:rsidRDefault="00D219FA" w:rsidP="002B0F76">
            <w:pPr>
              <w:spacing w:after="0" w:line="300" w:lineRule="auto"/>
              <w:jc w:val="center"/>
              <w:rPr>
                <w:rFonts w:cs="Arial"/>
                <w:sz w:val="20"/>
                <w:szCs w:val="20"/>
              </w:rPr>
            </w:pPr>
            <w:r w:rsidRPr="00CC5449">
              <w:rPr>
                <w:rFonts w:cs="Arial"/>
                <w:sz w:val="20"/>
                <w:szCs w:val="20"/>
              </w:rPr>
              <w:t>20%</w:t>
            </w:r>
          </w:p>
        </w:tc>
      </w:tr>
      <w:tr w:rsidR="00D219FA" w:rsidRPr="00CC5449" w14:paraId="43B412C2" w14:textId="77777777" w:rsidTr="002B0F76">
        <w:trPr>
          <w:trHeight w:val="84"/>
        </w:trPr>
        <w:tc>
          <w:tcPr>
            <w:tcW w:w="1985" w:type="dxa"/>
          </w:tcPr>
          <w:p w14:paraId="590BA5C8" w14:textId="77777777" w:rsidR="00D219FA" w:rsidRPr="00CC5449" w:rsidRDefault="00D219FA" w:rsidP="002B0F76">
            <w:pPr>
              <w:spacing w:after="0"/>
              <w:rPr>
                <w:rFonts w:cs="Arial"/>
                <w:sz w:val="20"/>
                <w:szCs w:val="20"/>
              </w:rPr>
            </w:pPr>
            <w:r w:rsidRPr="00CC5449">
              <w:rPr>
                <w:rFonts w:cs="Arial"/>
                <w:b/>
                <w:bCs/>
                <w:sz w:val="20"/>
                <w:szCs w:val="20"/>
              </w:rPr>
              <w:t xml:space="preserve">Operating Surplus </w:t>
            </w:r>
          </w:p>
        </w:tc>
        <w:tc>
          <w:tcPr>
            <w:tcW w:w="1276" w:type="dxa"/>
          </w:tcPr>
          <w:p w14:paraId="2EE3CB97" w14:textId="77777777" w:rsidR="00D219FA" w:rsidRPr="00CC5449" w:rsidRDefault="00D219FA" w:rsidP="002B0F76">
            <w:pPr>
              <w:spacing w:after="0"/>
              <w:jc w:val="center"/>
              <w:rPr>
                <w:rFonts w:cs="Arial"/>
                <w:sz w:val="20"/>
                <w:szCs w:val="20"/>
              </w:rPr>
            </w:pPr>
            <w:r w:rsidRPr="00280F9D">
              <w:rPr>
                <w:rFonts w:cs="Arial"/>
                <w:color w:val="FF0000"/>
                <w:sz w:val="20"/>
                <w:szCs w:val="20"/>
              </w:rPr>
              <w:t>-0.85</w:t>
            </w:r>
            <w:r>
              <w:rPr>
                <w:rFonts w:cs="Arial"/>
                <w:sz w:val="20"/>
                <w:szCs w:val="20"/>
              </w:rPr>
              <w:t>:1.00</w:t>
            </w:r>
          </w:p>
        </w:tc>
        <w:tc>
          <w:tcPr>
            <w:tcW w:w="1275" w:type="dxa"/>
          </w:tcPr>
          <w:p w14:paraId="740622D7" w14:textId="77777777" w:rsidR="00D219FA" w:rsidRPr="00CC5449" w:rsidRDefault="00D219FA" w:rsidP="002B0F76">
            <w:pPr>
              <w:spacing w:after="0"/>
              <w:jc w:val="center"/>
              <w:rPr>
                <w:rFonts w:cs="Arial"/>
                <w:sz w:val="20"/>
                <w:szCs w:val="20"/>
              </w:rPr>
            </w:pPr>
            <w:r w:rsidRPr="00CC5449">
              <w:rPr>
                <w:rFonts w:cs="Arial"/>
                <w:sz w:val="20"/>
                <w:szCs w:val="20"/>
              </w:rPr>
              <w:t>0.00</w:t>
            </w:r>
            <w:r>
              <w:rPr>
                <w:rFonts w:cs="Arial"/>
                <w:sz w:val="20"/>
                <w:szCs w:val="20"/>
              </w:rPr>
              <w:t>:1.00</w:t>
            </w:r>
          </w:p>
        </w:tc>
        <w:tc>
          <w:tcPr>
            <w:tcW w:w="1134" w:type="dxa"/>
          </w:tcPr>
          <w:p w14:paraId="2A737AC8" w14:textId="77777777" w:rsidR="00D219FA" w:rsidRPr="00CC5449" w:rsidRDefault="00D219FA" w:rsidP="002B0F76">
            <w:pPr>
              <w:spacing w:after="0"/>
              <w:jc w:val="center"/>
              <w:rPr>
                <w:rFonts w:cs="Arial"/>
                <w:sz w:val="20"/>
                <w:szCs w:val="20"/>
              </w:rPr>
            </w:pPr>
            <w:r w:rsidRPr="00CC5449">
              <w:rPr>
                <w:rFonts w:cs="Arial"/>
                <w:sz w:val="20"/>
                <w:szCs w:val="20"/>
              </w:rPr>
              <w:t>0.15</w:t>
            </w:r>
            <w:r>
              <w:rPr>
                <w:rFonts w:cs="Arial"/>
                <w:sz w:val="20"/>
                <w:szCs w:val="20"/>
              </w:rPr>
              <w:t>:1.00</w:t>
            </w:r>
          </w:p>
        </w:tc>
        <w:tc>
          <w:tcPr>
            <w:tcW w:w="1134" w:type="dxa"/>
          </w:tcPr>
          <w:p w14:paraId="2B3A1B0E" w14:textId="77777777" w:rsidR="00D219FA" w:rsidRPr="00CC5449" w:rsidRDefault="00D219FA" w:rsidP="002B0F76">
            <w:pPr>
              <w:spacing w:after="0" w:line="300" w:lineRule="auto"/>
              <w:jc w:val="center"/>
              <w:rPr>
                <w:rFonts w:cs="Arial"/>
                <w:sz w:val="20"/>
                <w:szCs w:val="20"/>
              </w:rPr>
            </w:pPr>
            <w:r w:rsidRPr="00CC5449">
              <w:rPr>
                <w:rFonts w:cs="Arial"/>
                <w:sz w:val="20"/>
                <w:szCs w:val="20"/>
              </w:rPr>
              <w:t>1.0</w:t>
            </w:r>
          </w:p>
        </w:tc>
        <w:tc>
          <w:tcPr>
            <w:tcW w:w="1276" w:type="dxa"/>
          </w:tcPr>
          <w:p w14:paraId="6F2CBE1A" w14:textId="77777777" w:rsidR="00D219FA" w:rsidRPr="00CC5449" w:rsidRDefault="00D219FA" w:rsidP="002B0F76">
            <w:pPr>
              <w:spacing w:after="0" w:line="300" w:lineRule="auto"/>
              <w:jc w:val="center"/>
              <w:rPr>
                <w:rFonts w:cs="Arial"/>
                <w:sz w:val="20"/>
                <w:szCs w:val="20"/>
              </w:rPr>
            </w:pPr>
            <w:r w:rsidRPr="00CC5449">
              <w:rPr>
                <w:rFonts w:cs="Arial"/>
                <w:sz w:val="20"/>
                <w:szCs w:val="20"/>
              </w:rPr>
              <w:t>7.0</w:t>
            </w:r>
          </w:p>
        </w:tc>
        <w:tc>
          <w:tcPr>
            <w:tcW w:w="1134" w:type="dxa"/>
          </w:tcPr>
          <w:p w14:paraId="2285D95E" w14:textId="77777777" w:rsidR="00D219FA" w:rsidRPr="00CC5449" w:rsidRDefault="00D219FA" w:rsidP="002B0F76">
            <w:pPr>
              <w:spacing w:after="0" w:line="300" w:lineRule="auto"/>
              <w:jc w:val="center"/>
              <w:rPr>
                <w:rFonts w:cs="Arial"/>
                <w:sz w:val="20"/>
                <w:szCs w:val="20"/>
              </w:rPr>
            </w:pPr>
            <w:r w:rsidRPr="00CC5449">
              <w:rPr>
                <w:rFonts w:cs="Arial"/>
                <w:sz w:val="20"/>
                <w:szCs w:val="20"/>
              </w:rPr>
              <w:t>10.0</w:t>
            </w:r>
          </w:p>
        </w:tc>
        <w:tc>
          <w:tcPr>
            <w:tcW w:w="1389" w:type="dxa"/>
          </w:tcPr>
          <w:p w14:paraId="03F0B09C" w14:textId="77777777" w:rsidR="00D219FA" w:rsidRPr="00CC5449" w:rsidRDefault="00D219FA" w:rsidP="002B0F76">
            <w:pPr>
              <w:spacing w:after="0" w:line="300" w:lineRule="auto"/>
              <w:jc w:val="center"/>
              <w:rPr>
                <w:rFonts w:cs="Arial"/>
                <w:sz w:val="20"/>
                <w:szCs w:val="20"/>
              </w:rPr>
            </w:pPr>
            <w:r w:rsidRPr="00CC5449">
              <w:rPr>
                <w:rFonts w:cs="Arial"/>
                <w:sz w:val="20"/>
                <w:szCs w:val="20"/>
              </w:rPr>
              <w:t>40%</w:t>
            </w:r>
          </w:p>
        </w:tc>
      </w:tr>
      <w:tr w:rsidR="00D219FA" w:rsidRPr="00CC5449" w14:paraId="2AC9E874" w14:textId="77777777" w:rsidTr="002B0F76">
        <w:trPr>
          <w:trHeight w:val="84"/>
        </w:trPr>
        <w:tc>
          <w:tcPr>
            <w:tcW w:w="1985" w:type="dxa"/>
          </w:tcPr>
          <w:p w14:paraId="6E407E41" w14:textId="77777777" w:rsidR="00D219FA" w:rsidRPr="00CC5449" w:rsidRDefault="00D219FA" w:rsidP="002B0F76">
            <w:pPr>
              <w:spacing w:after="0"/>
              <w:rPr>
                <w:rFonts w:cs="Arial"/>
                <w:sz w:val="20"/>
                <w:szCs w:val="20"/>
              </w:rPr>
            </w:pPr>
            <w:r w:rsidRPr="00CC5449">
              <w:rPr>
                <w:rFonts w:cs="Arial"/>
                <w:b/>
                <w:bCs/>
                <w:sz w:val="20"/>
                <w:szCs w:val="20"/>
              </w:rPr>
              <w:t xml:space="preserve">Net Financial Liability </w:t>
            </w:r>
          </w:p>
        </w:tc>
        <w:tc>
          <w:tcPr>
            <w:tcW w:w="1276" w:type="dxa"/>
          </w:tcPr>
          <w:p w14:paraId="3B388564" w14:textId="77777777" w:rsidR="00D219FA" w:rsidRPr="00CC5449" w:rsidRDefault="00D219FA" w:rsidP="002B0F76">
            <w:pPr>
              <w:spacing w:after="0"/>
              <w:jc w:val="center"/>
              <w:rPr>
                <w:rFonts w:cs="Arial"/>
                <w:sz w:val="20"/>
                <w:szCs w:val="20"/>
              </w:rPr>
            </w:pPr>
            <w:r w:rsidRPr="00CC5449">
              <w:rPr>
                <w:rFonts w:cs="Arial"/>
                <w:sz w:val="20"/>
                <w:szCs w:val="20"/>
              </w:rPr>
              <w:t>0.60</w:t>
            </w:r>
            <w:r>
              <w:rPr>
                <w:rFonts w:cs="Arial"/>
                <w:sz w:val="20"/>
                <w:szCs w:val="20"/>
              </w:rPr>
              <w:t>:1.00</w:t>
            </w:r>
          </w:p>
        </w:tc>
        <w:tc>
          <w:tcPr>
            <w:tcW w:w="1275" w:type="dxa"/>
          </w:tcPr>
          <w:p w14:paraId="026217E3" w14:textId="77777777" w:rsidR="00D219FA" w:rsidRPr="00CC5449" w:rsidRDefault="00D219FA" w:rsidP="002B0F76">
            <w:pPr>
              <w:spacing w:after="0"/>
              <w:jc w:val="center"/>
              <w:rPr>
                <w:rFonts w:cs="Arial"/>
                <w:sz w:val="20"/>
                <w:szCs w:val="20"/>
              </w:rPr>
            </w:pPr>
            <w:r w:rsidRPr="00CC5449">
              <w:rPr>
                <w:rFonts w:cs="Arial"/>
                <w:sz w:val="20"/>
                <w:szCs w:val="20"/>
              </w:rPr>
              <w:t>0.30</w:t>
            </w:r>
            <w:r>
              <w:rPr>
                <w:rFonts w:cs="Arial"/>
                <w:sz w:val="20"/>
                <w:szCs w:val="20"/>
              </w:rPr>
              <w:t>:1.00</w:t>
            </w:r>
          </w:p>
        </w:tc>
        <w:tc>
          <w:tcPr>
            <w:tcW w:w="1134" w:type="dxa"/>
          </w:tcPr>
          <w:p w14:paraId="083B08AE" w14:textId="77777777" w:rsidR="00D219FA" w:rsidRPr="00CC5449" w:rsidRDefault="00D219FA" w:rsidP="002B0F76">
            <w:pPr>
              <w:spacing w:after="0"/>
              <w:jc w:val="center"/>
              <w:rPr>
                <w:rFonts w:cs="Arial"/>
                <w:sz w:val="20"/>
                <w:szCs w:val="20"/>
              </w:rPr>
            </w:pPr>
            <w:r w:rsidRPr="00CC5449">
              <w:rPr>
                <w:rFonts w:cs="Arial"/>
                <w:sz w:val="20"/>
                <w:szCs w:val="20"/>
              </w:rPr>
              <w:t>0.00</w:t>
            </w:r>
            <w:r>
              <w:rPr>
                <w:rFonts w:cs="Arial"/>
                <w:sz w:val="20"/>
                <w:szCs w:val="20"/>
              </w:rPr>
              <w:t>:1.00</w:t>
            </w:r>
          </w:p>
        </w:tc>
        <w:tc>
          <w:tcPr>
            <w:tcW w:w="1134" w:type="dxa"/>
          </w:tcPr>
          <w:p w14:paraId="5BC8AAF1" w14:textId="77777777" w:rsidR="00D219FA" w:rsidRPr="00CC5449" w:rsidRDefault="00D219FA" w:rsidP="002B0F76">
            <w:pPr>
              <w:spacing w:after="0" w:line="300" w:lineRule="auto"/>
              <w:jc w:val="center"/>
              <w:rPr>
                <w:rFonts w:cs="Arial"/>
                <w:sz w:val="20"/>
                <w:szCs w:val="20"/>
              </w:rPr>
            </w:pPr>
            <w:r w:rsidRPr="00CC5449">
              <w:rPr>
                <w:rFonts w:cs="Arial"/>
                <w:sz w:val="20"/>
                <w:szCs w:val="20"/>
              </w:rPr>
              <w:t>1.0</w:t>
            </w:r>
          </w:p>
        </w:tc>
        <w:tc>
          <w:tcPr>
            <w:tcW w:w="1276" w:type="dxa"/>
          </w:tcPr>
          <w:p w14:paraId="3C52C512" w14:textId="77777777" w:rsidR="00D219FA" w:rsidRPr="00CC5449" w:rsidRDefault="00D219FA" w:rsidP="002B0F76">
            <w:pPr>
              <w:spacing w:after="0" w:line="300" w:lineRule="auto"/>
              <w:jc w:val="center"/>
              <w:rPr>
                <w:rFonts w:cs="Arial"/>
                <w:sz w:val="20"/>
                <w:szCs w:val="20"/>
              </w:rPr>
            </w:pPr>
            <w:r w:rsidRPr="00CC5449">
              <w:rPr>
                <w:rFonts w:cs="Arial"/>
                <w:sz w:val="20"/>
                <w:szCs w:val="20"/>
              </w:rPr>
              <w:t>7.0</w:t>
            </w:r>
          </w:p>
        </w:tc>
        <w:tc>
          <w:tcPr>
            <w:tcW w:w="1134" w:type="dxa"/>
          </w:tcPr>
          <w:p w14:paraId="4E5F12D0" w14:textId="77777777" w:rsidR="00D219FA" w:rsidRPr="00CC5449" w:rsidRDefault="00D219FA" w:rsidP="002B0F76">
            <w:pPr>
              <w:spacing w:after="0" w:line="300" w:lineRule="auto"/>
              <w:jc w:val="center"/>
              <w:rPr>
                <w:rFonts w:cs="Arial"/>
                <w:sz w:val="20"/>
                <w:szCs w:val="20"/>
              </w:rPr>
            </w:pPr>
            <w:r w:rsidRPr="00CC5449">
              <w:rPr>
                <w:rFonts w:cs="Arial"/>
                <w:sz w:val="20"/>
                <w:szCs w:val="20"/>
              </w:rPr>
              <w:t>10.0</w:t>
            </w:r>
          </w:p>
        </w:tc>
        <w:tc>
          <w:tcPr>
            <w:tcW w:w="1389" w:type="dxa"/>
          </w:tcPr>
          <w:p w14:paraId="30619625" w14:textId="77777777" w:rsidR="00D219FA" w:rsidRPr="00CC5449" w:rsidRDefault="00D219FA" w:rsidP="002B0F76">
            <w:pPr>
              <w:spacing w:after="0" w:line="300" w:lineRule="auto"/>
              <w:jc w:val="center"/>
              <w:rPr>
                <w:rFonts w:cs="Arial"/>
                <w:sz w:val="20"/>
                <w:szCs w:val="20"/>
              </w:rPr>
            </w:pPr>
            <w:r w:rsidRPr="00CC5449">
              <w:rPr>
                <w:rFonts w:cs="Arial"/>
                <w:sz w:val="20"/>
                <w:szCs w:val="20"/>
              </w:rPr>
              <w:t>30%</w:t>
            </w:r>
          </w:p>
        </w:tc>
      </w:tr>
      <w:tr w:rsidR="00D219FA" w:rsidRPr="00CC5449" w14:paraId="7D9889FE" w14:textId="77777777" w:rsidTr="002B0F76">
        <w:trPr>
          <w:trHeight w:val="84"/>
        </w:trPr>
        <w:tc>
          <w:tcPr>
            <w:tcW w:w="9214" w:type="dxa"/>
            <w:gridSpan w:val="7"/>
          </w:tcPr>
          <w:p w14:paraId="1EE769E8" w14:textId="77777777" w:rsidR="00D219FA" w:rsidRPr="00CC5449" w:rsidRDefault="00D219FA" w:rsidP="002B0F76">
            <w:pPr>
              <w:spacing w:after="0"/>
              <w:jc w:val="right"/>
              <w:rPr>
                <w:rFonts w:cs="Arial"/>
                <w:sz w:val="20"/>
                <w:szCs w:val="20"/>
              </w:rPr>
            </w:pPr>
          </w:p>
        </w:tc>
        <w:tc>
          <w:tcPr>
            <w:tcW w:w="1389" w:type="dxa"/>
          </w:tcPr>
          <w:p w14:paraId="2ED6B2DD" w14:textId="77777777" w:rsidR="00D219FA" w:rsidRPr="00CC5449" w:rsidRDefault="00D219FA" w:rsidP="002B0F76">
            <w:pPr>
              <w:spacing w:after="0"/>
              <w:jc w:val="center"/>
              <w:rPr>
                <w:rFonts w:cs="Arial"/>
                <w:sz w:val="20"/>
                <w:szCs w:val="20"/>
              </w:rPr>
            </w:pPr>
            <w:r w:rsidRPr="00CC5449">
              <w:rPr>
                <w:rFonts w:cs="Arial"/>
                <w:b/>
                <w:bCs/>
                <w:sz w:val="20"/>
                <w:szCs w:val="20"/>
              </w:rPr>
              <w:t>100%</w:t>
            </w:r>
          </w:p>
        </w:tc>
      </w:tr>
    </w:tbl>
    <w:p w14:paraId="5FF2E0F0" w14:textId="77777777" w:rsidR="00D219FA" w:rsidRDefault="00D219FA" w:rsidP="00D219FA">
      <w:pPr>
        <w:rPr>
          <w:lang w:eastAsia="en-AU"/>
        </w:rPr>
      </w:pPr>
    </w:p>
    <w:p w14:paraId="03AC4736" w14:textId="77777777" w:rsidR="00D219FA" w:rsidRPr="00EB702D" w:rsidRDefault="00D219FA" w:rsidP="00D219FA">
      <w:pPr>
        <w:pStyle w:val="Heading3"/>
        <w:rPr>
          <w:lang w:eastAsia="en-AU"/>
        </w:rPr>
      </w:pPr>
      <w:bookmarkStart w:id="14" w:name="_Toc192499393"/>
      <w:r>
        <w:t xml:space="preserve">1.2.5 </w:t>
      </w:r>
      <w:r w:rsidRPr="00EB702D">
        <w:t>Data</w:t>
      </w:r>
      <w:bookmarkEnd w:id="14"/>
    </w:p>
    <w:p w14:paraId="033484F0" w14:textId="77777777" w:rsidR="00D219FA" w:rsidRDefault="00D219FA" w:rsidP="00D219FA">
      <w:r>
        <w:t>Data to calculate the financial ratios and the LGFI displayed on the MyCouncil website has been based on financial information held within local governments accounting systems.</w:t>
      </w:r>
    </w:p>
    <w:p w14:paraId="10DCA602" w14:textId="77777777" w:rsidR="00D219FA" w:rsidRDefault="00D219FA" w:rsidP="00D219FA">
      <w:r>
        <w:t xml:space="preserve">Workbooks pre-populated with financial data were provided to local governments </w:t>
      </w:r>
      <w:proofErr w:type="gramStart"/>
      <w:r>
        <w:t>in order to</w:t>
      </w:r>
      <w:proofErr w:type="gramEnd"/>
      <w:r>
        <w:t xml:space="preserve"> validate the accuracy of data used to compile the LGFI. This process afforded local governments with the opportunity to amend data (if applicable), and to provide commentary on ratio outcomes to assist community stakeholder comprehension.</w:t>
      </w:r>
    </w:p>
    <w:p w14:paraId="7BD964C1" w14:textId="77777777" w:rsidR="00D219FA" w:rsidRDefault="00D219FA" w:rsidP="00D219FA">
      <w:pPr>
        <w:pStyle w:val="Heading3"/>
      </w:pPr>
      <w:bookmarkStart w:id="15" w:name="_Toc192499394"/>
      <w:r>
        <w:t>1.2.6 Missing ratios</w:t>
      </w:r>
      <w:bookmarkEnd w:id="15"/>
    </w:p>
    <w:p w14:paraId="5DFB42A3" w14:textId="77777777" w:rsidR="00D219FA" w:rsidRDefault="00D219FA" w:rsidP="00D219FA">
      <w:r>
        <w:t xml:space="preserve">Where data is not available to calculate one or more of the four ratios, a total LGFI score will </w:t>
      </w:r>
      <w:r w:rsidRPr="00D219FA">
        <w:t>not</w:t>
      </w:r>
      <w:r>
        <w:t xml:space="preserve"> be calculated.</w:t>
      </w:r>
    </w:p>
    <w:p w14:paraId="0B38513E" w14:textId="77777777" w:rsidR="00D219FA" w:rsidRDefault="00D219FA" w:rsidP="00D219FA">
      <w:r>
        <w:t>The exception is the Debt Service Coverage ratio:</w:t>
      </w:r>
    </w:p>
    <w:p w14:paraId="0A916BD4" w14:textId="77777777" w:rsidR="00D219FA" w:rsidRDefault="00D219FA" w:rsidP="00D219FA">
      <w:pPr>
        <w:pStyle w:val="Listbullet"/>
      </w:pPr>
      <w:r>
        <w:t xml:space="preserve">Where a local government has no debt and has an operating surplus, an adjusted ratio score of 10 (high score) will be applied to this ratio. </w:t>
      </w:r>
    </w:p>
    <w:p w14:paraId="07E24F41" w14:textId="77777777" w:rsidR="00D219FA" w:rsidRDefault="00D219FA" w:rsidP="00D219FA">
      <w:pPr>
        <w:pStyle w:val="Listbullet"/>
      </w:pPr>
      <w:r>
        <w:t>Where a local government has no reported debt, but has an operating deficit, an adjusted ratio score of 1 (low score) will be applied to this ratio.</w:t>
      </w:r>
    </w:p>
    <w:p w14:paraId="59581A58" w14:textId="77777777" w:rsidR="00E22394" w:rsidRDefault="00E22394">
      <w:pPr>
        <w:spacing w:after="160" w:line="278" w:lineRule="auto"/>
        <w:rPr>
          <w:rFonts w:ascii="Aptos SemiBold" w:eastAsiaTheme="majorEastAsia" w:hAnsi="Aptos SemiBold" w:cstheme="majorBidi"/>
          <w:sz w:val="28"/>
          <w:szCs w:val="28"/>
        </w:rPr>
      </w:pPr>
      <w:r>
        <w:br w:type="page"/>
      </w:r>
    </w:p>
    <w:p w14:paraId="10071CAD" w14:textId="44576848" w:rsidR="00D219FA" w:rsidRPr="003D1B1B" w:rsidRDefault="00D219FA" w:rsidP="00D219FA">
      <w:pPr>
        <w:pStyle w:val="Heading3"/>
      </w:pPr>
      <w:bookmarkStart w:id="16" w:name="_Toc192499395"/>
      <w:r>
        <w:lastRenderedPageBreak/>
        <w:t xml:space="preserve">1.2.7 Example LGFI </w:t>
      </w:r>
      <w:r w:rsidR="0004025A">
        <w:t>c</w:t>
      </w:r>
      <w:r>
        <w:t>alculation</w:t>
      </w:r>
      <w:bookmarkEnd w:id="16"/>
    </w:p>
    <w:p w14:paraId="7BE3C4D4" w14:textId="77777777" w:rsidR="00D219FA" w:rsidRPr="00D219FA" w:rsidRDefault="00D219FA" w:rsidP="00D219FA">
      <w:r w:rsidRPr="00D219FA">
        <w:t>By way of recap, the LGFI calculation methodology is summarised below:</w:t>
      </w:r>
    </w:p>
    <w:p w14:paraId="46F4E420" w14:textId="77777777" w:rsidR="00D219FA" w:rsidRPr="00280F9D" w:rsidRDefault="00D219FA" w:rsidP="00D219FA">
      <w:pPr>
        <w:pStyle w:val="Listnumber111"/>
        <w:numPr>
          <w:ilvl w:val="0"/>
          <w:numId w:val="40"/>
        </w:numPr>
        <w:tabs>
          <w:tab w:val="clear" w:pos="1418"/>
          <w:tab w:val="num" w:pos="709"/>
        </w:tabs>
        <w:ind w:left="709"/>
      </w:pPr>
      <w:r w:rsidRPr="00280F9D">
        <w:t>Identify ratio values for each of the four LGFI ratios for an LG in any given year.</w:t>
      </w:r>
    </w:p>
    <w:p w14:paraId="3BE07CC3" w14:textId="77777777" w:rsidR="00D219FA" w:rsidRPr="00280F9D" w:rsidRDefault="00D219FA" w:rsidP="00D219FA">
      <w:pPr>
        <w:pStyle w:val="Listnumber111"/>
        <w:tabs>
          <w:tab w:val="clear" w:pos="1418"/>
          <w:tab w:val="num" w:pos="709"/>
        </w:tabs>
        <w:ind w:left="709"/>
      </w:pPr>
      <w:r w:rsidRPr="00280F9D">
        <w:t>Map each ratio value to the LGFI scoring system to determine a standardised ratio score (between one and ten).</w:t>
      </w:r>
    </w:p>
    <w:p w14:paraId="2E1F1637" w14:textId="77777777" w:rsidR="00D219FA" w:rsidRPr="00280F9D" w:rsidRDefault="00D219FA" w:rsidP="00D219FA">
      <w:pPr>
        <w:pStyle w:val="Listnumber111"/>
        <w:tabs>
          <w:tab w:val="clear" w:pos="1418"/>
          <w:tab w:val="num" w:pos="709"/>
        </w:tabs>
        <w:ind w:left="709"/>
      </w:pPr>
      <w:r w:rsidRPr="00280F9D">
        <w:t>Multiply each ratio score by its respective LGFI weight.</w:t>
      </w:r>
    </w:p>
    <w:p w14:paraId="79A3F97E" w14:textId="77777777" w:rsidR="00D219FA" w:rsidRPr="00280F9D" w:rsidRDefault="00D219FA" w:rsidP="00D219FA">
      <w:pPr>
        <w:pStyle w:val="Listnumber111"/>
        <w:tabs>
          <w:tab w:val="clear" w:pos="1418"/>
          <w:tab w:val="num" w:pos="709"/>
        </w:tabs>
        <w:ind w:left="709"/>
      </w:pPr>
      <w:r w:rsidRPr="00280F9D">
        <w:t>Sum the weighted scores to produce a total weighted score.</w:t>
      </w:r>
    </w:p>
    <w:p w14:paraId="22A75BD9" w14:textId="77777777" w:rsidR="00D219FA" w:rsidRPr="00280F9D" w:rsidRDefault="00D219FA" w:rsidP="00D219FA">
      <w:pPr>
        <w:pStyle w:val="Listnumber111"/>
        <w:tabs>
          <w:tab w:val="clear" w:pos="1418"/>
          <w:tab w:val="num" w:pos="709"/>
        </w:tabs>
        <w:ind w:left="709"/>
      </w:pPr>
      <w:r w:rsidRPr="00280F9D">
        <w:t>Multiply the total weighted score by the scaling factor (10) to arrive at a final LGFI score (between 10 and 100) for the LG for the year in question.</w:t>
      </w:r>
    </w:p>
    <w:p w14:paraId="106029BD" w14:textId="77777777" w:rsidR="002D24C5" w:rsidRDefault="002D24C5" w:rsidP="00D219FA"/>
    <w:p w14:paraId="097B5E17" w14:textId="5362CD05" w:rsidR="00D219FA" w:rsidRPr="00D219FA" w:rsidRDefault="00D219FA" w:rsidP="00D219FA">
      <w:r w:rsidRPr="00D219FA">
        <w:t>Table 3 below provides an illustration of the calculation of an LGFI score for a given year for a hypothetical LG, using sample ratio values.</w:t>
      </w:r>
    </w:p>
    <w:p w14:paraId="5CD54C0E" w14:textId="77777777" w:rsidR="00D219FA" w:rsidRPr="00AE2C7A" w:rsidRDefault="00D219FA" w:rsidP="00D219FA">
      <w:pPr>
        <w:spacing w:line="300" w:lineRule="auto"/>
        <w:jc w:val="both"/>
        <w:rPr>
          <w:rFonts w:cs="Arial"/>
          <w:b/>
          <w:bCs/>
        </w:rPr>
      </w:pPr>
      <w:r w:rsidRPr="00AE2C7A">
        <w:rPr>
          <w:rFonts w:cs="Arial"/>
          <w:b/>
          <w:bCs/>
        </w:rPr>
        <w:t xml:space="preserve">Table </w:t>
      </w:r>
      <w:r>
        <w:rPr>
          <w:rFonts w:cs="Arial"/>
          <w:b/>
          <w:bCs/>
        </w:rPr>
        <w:t>3</w:t>
      </w:r>
      <w:r w:rsidRPr="00AE2C7A">
        <w:rPr>
          <w:rFonts w:cs="Arial"/>
          <w:b/>
          <w:bCs/>
        </w:rPr>
        <w:t xml:space="preserve">: </w:t>
      </w:r>
      <w:r>
        <w:rPr>
          <w:rFonts w:cs="Arial"/>
        </w:rPr>
        <w:t>Example LGFI Calculation</w:t>
      </w:r>
    </w:p>
    <w:tbl>
      <w:tblPr>
        <w:tblW w:w="10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5"/>
        <w:gridCol w:w="1970"/>
        <w:gridCol w:w="1968"/>
        <w:gridCol w:w="1751"/>
        <w:gridCol w:w="1751"/>
      </w:tblGrid>
      <w:tr w:rsidR="00D219FA" w:rsidRPr="00CC5449" w14:paraId="1D2BC083" w14:textId="77777777" w:rsidTr="002B0F76">
        <w:trPr>
          <w:trHeight w:val="281"/>
        </w:trPr>
        <w:tc>
          <w:tcPr>
            <w:tcW w:w="3065" w:type="dxa"/>
            <w:shd w:val="clear" w:color="auto" w:fill="0070C0"/>
          </w:tcPr>
          <w:p w14:paraId="7DD39BA9" w14:textId="77777777" w:rsidR="00D219FA" w:rsidRPr="0070081A" w:rsidRDefault="00D219FA" w:rsidP="002B0F76">
            <w:pPr>
              <w:spacing w:after="0"/>
              <w:jc w:val="center"/>
              <w:rPr>
                <w:rFonts w:cs="Arial"/>
                <w:b/>
                <w:bCs/>
                <w:color w:val="FFFFFF" w:themeColor="background1"/>
                <w:sz w:val="20"/>
                <w:szCs w:val="20"/>
              </w:rPr>
            </w:pPr>
            <w:r w:rsidRPr="0070081A">
              <w:rPr>
                <w:rFonts w:cs="Arial"/>
                <w:b/>
                <w:bCs/>
                <w:color w:val="FFFFFF" w:themeColor="background1"/>
                <w:sz w:val="20"/>
                <w:szCs w:val="20"/>
              </w:rPr>
              <w:t>Ratio</w:t>
            </w:r>
          </w:p>
        </w:tc>
        <w:tc>
          <w:tcPr>
            <w:tcW w:w="1970" w:type="dxa"/>
            <w:shd w:val="clear" w:color="auto" w:fill="0070C0"/>
          </w:tcPr>
          <w:p w14:paraId="3A0795C9" w14:textId="77777777" w:rsidR="00D219FA" w:rsidRPr="0070081A" w:rsidRDefault="00D219FA" w:rsidP="002B0F76">
            <w:pPr>
              <w:spacing w:after="0"/>
              <w:jc w:val="center"/>
              <w:rPr>
                <w:rFonts w:cs="Arial"/>
                <w:b/>
                <w:bCs/>
                <w:color w:val="FFFFFF" w:themeColor="background1"/>
                <w:sz w:val="20"/>
                <w:szCs w:val="20"/>
              </w:rPr>
            </w:pPr>
            <w:r w:rsidRPr="0070081A">
              <w:rPr>
                <w:rFonts w:cs="Arial"/>
                <w:b/>
                <w:bCs/>
                <w:color w:val="FFFFFF" w:themeColor="background1"/>
                <w:sz w:val="20"/>
                <w:szCs w:val="20"/>
              </w:rPr>
              <w:t>Ratio Value</w:t>
            </w:r>
          </w:p>
        </w:tc>
        <w:tc>
          <w:tcPr>
            <w:tcW w:w="1968" w:type="dxa"/>
            <w:shd w:val="clear" w:color="auto" w:fill="0070C0"/>
          </w:tcPr>
          <w:p w14:paraId="500A0F5E" w14:textId="77777777" w:rsidR="00D219FA" w:rsidRPr="0070081A" w:rsidRDefault="00D219FA" w:rsidP="002B0F76">
            <w:pPr>
              <w:spacing w:after="0"/>
              <w:jc w:val="center"/>
              <w:rPr>
                <w:rFonts w:cs="Arial"/>
                <w:b/>
                <w:bCs/>
                <w:color w:val="FFFFFF" w:themeColor="background1"/>
                <w:sz w:val="20"/>
                <w:szCs w:val="20"/>
              </w:rPr>
            </w:pPr>
            <w:r w:rsidRPr="0070081A">
              <w:rPr>
                <w:rFonts w:cs="Arial"/>
                <w:b/>
                <w:bCs/>
                <w:color w:val="FFFFFF" w:themeColor="background1"/>
                <w:sz w:val="20"/>
                <w:szCs w:val="20"/>
              </w:rPr>
              <w:t>Ratio Score</w:t>
            </w:r>
          </w:p>
        </w:tc>
        <w:tc>
          <w:tcPr>
            <w:tcW w:w="1751" w:type="dxa"/>
            <w:shd w:val="clear" w:color="auto" w:fill="0070C0"/>
          </w:tcPr>
          <w:p w14:paraId="2CFC70B3" w14:textId="77777777" w:rsidR="00D219FA" w:rsidRPr="0070081A" w:rsidRDefault="00D219FA" w:rsidP="002B0F76">
            <w:pPr>
              <w:spacing w:after="0"/>
              <w:jc w:val="center"/>
              <w:rPr>
                <w:rFonts w:cs="Arial"/>
                <w:b/>
                <w:bCs/>
                <w:color w:val="FFFFFF" w:themeColor="background1"/>
                <w:sz w:val="20"/>
                <w:szCs w:val="20"/>
              </w:rPr>
            </w:pPr>
            <w:r w:rsidRPr="0070081A">
              <w:rPr>
                <w:rFonts w:cs="Arial"/>
                <w:b/>
                <w:bCs/>
                <w:color w:val="FFFFFF" w:themeColor="background1"/>
                <w:sz w:val="20"/>
                <w:szCs w:val="20"/>
              </w:rPr>
              <w:t>Ratio Weight</w:t>
            </w:r>
          </w:p>
        </w:tc>
        <w:tc>
          <w:tcPr>
            <w:tcW w:w="1751" w:type="dxa"/>
            <w:shd w:val="clear" w:color="auto" w:fill="0070C0"/>
          </w:tcPr>
          <w:p w14:paraId="6B7C5DEA" w14:textId="77777777" w:rsidR="00D219FA" w:rsidRPr="0070081A" w:rsidRDefault="00D219FA" w:rsidP="002B0F76">
            <w:pPr>
              <w:spacing w:after="0" w:line="300" w:lineRule="auto"/>
              <w:jc w:val="center"/>
              <w:rPr>
                <w:rFonts w:cs="Arial"/>
                <w:b/>
                <w:bCs/>
                <w:color w:val="FFFFFF" w:themeColor="background1"/>
                <w:sz w:val="20"/>
                <w:szCs w:val="20"/>
              </w:rPr>
            </w:pPr>
            <w:r w:rsidRPr="0070081A">
              <w:rPr>
                <w:rFonts w:cs="Arial"/>
                <w:b/>
                <w:bCs/>
                <w:color w:val="FFFFFF" w:themeColor="background1"/>
                <w:sz w:val="20"/>
                <w:szCs w:val="20"/>
              </w:rPr>
              <w:t>Weighted Score</w:t>
            </w:r>
          </w:p>
        </w:tc>
      </w:tr>
      <w:tr w:rsidR="00D219FA" w:rsidRPr="00CC5449" w14:paraId="23A7C28B" w14:textId="77777777" w:rsidTr="002B0F76">
        <w:trPr>
          <w:trHeight w:val="80"/>
        </w:trPr>
        <w:tc>
          <w:tcPr>
            <w:tcW w:w="3065" w:type="dxa"/>
          </w:tcPr>
          <w:p w14:paraId="328527A6" w14:textId="77777777" w:rsidR="00D219FA" w:rsidRPr="00CC5449" w:rsidRDefault="00D219FA" w:rsidP="002B0F76">
            <w:pPr>
              <w:spacing w:after="0"/>
              <w:rPr>
                <w:rFonts w:cs="Arial"/>
                <w:sz w:val="20"/>
                <w:szCs w:val="20"/>
              </w:rPr>
            </w:pPr>
            <w:r w:rsidRPr="00CC5449">
              <w:rPr>
                <w:rFonts w:cs="Arial"/>
                <w:b/>
                <w:bCs/>
                <w:sz w:val="20"/>
                <w:szCs w:val="20"/>
              </w:rPr>
              <w:t xml:space="preserve">Current </w:t>
            </w:r>
          </w:p>
        </w:tc>
        <w:tc>
          <w:tcPr>
            <w:tcW w:w="1970" w:type="dxa"/>
          </w:tcPr>
          <w:p w14:paraId="394EDEC7" w14:textId="77777777" w:rsidR="00D219FA" w:rsidRPr="00CC5449" w:rsidRDefault="00D219FA" w:rsidP="002B0F76">
            <w:pPr>
              <w:spacing w:after="0"/>
              <w:jc w:val="center"/>
              <w:rPr>
                <w:rFonts w:cs="Arial"/>
                <w:sz w:val="20"/>
                <w:szCs w:val="20"/>
              </w:rPr>
            </w:pPr>
            <w:r>
              <w:rPr>
                <w:rFonts w:cs="Arial"/>
                <w:sz w:val="20"/>
                <w:szCs w:val="20"/>
              </w:rPr>
              <w:t>3.14</w:t>
            </w:r>
          </w:p>
        </w:tc>
        <w:tc>
          <w:tcPr>
            <w:tcW w:w="1968" w:type="dxa"/>
          </w:tcPr>
          <w:p w14:paraId="21C5391C" w14:textId="77777777" w:rsidR="00D219FA" w:rsidRPr="00CC5449" w:rsidRDefault="00D219FA" w:rsidP="002B0F76">
            <w:pPr>
              <w:spacing w:after="0"/>
              <w:jc w:val="center"/>
              <w:rPr>
                <w:rFonts w:cs="Arial"/>
                <w:sz w:val="20"/>
                <w:szCs w:val="20"/>
              </w:rPr>
            </w:pPr>
            <w:r>
              <w:rPr>
                <w:rFonts w:cs="Arial"/>
                <w:sz w:val="20"/>
                <w:szCs w:val="20"/>
              </w:rPr>
              <w:t>10.00</w:t>
            </w:r>
          </w:p>
        </w:tc>
        <w:tc>
          <w:tcPr>
            <w:tcW w:w="1751" w:type="dxa"/>
          </w:tcPr>
          <w:p w14:paraId="262C9F38" w14:textId="77777777" w:rsidR="00D219FA" w:rsidRPr="00CC5449" w:rsidRDefault="00D219FA" w:rsidP="002B0F76">
            <w:pPr>
              <w:spacing w:after="0"/>
              <w:jc w:val="center"/>
              <w:rPr>
                <w:rFonts w:cs="Arial"/>
                <w:sz w:val="20"/>
                <w:szCs w:val="20"/>
              </w:rPr>
            </w:pPr>
            <w:r w:rsidRPr="00CC5449">
              <w:rPr>
                <w:rFonts w:cs="Arial"/>
                <w:sz w:val="20"/>
                <w:szCs w:val="20"/>
              </w:rPr>
              <w:t>10%</w:t>
            </w:r>
          </w:p>
        </w:tc>
        <w:tc>
          <w:tcPr>
            <w:tcW w:w="1751" w:type="dxa"/>
          </w:tcPr>
          <w:p w14:paraId="18E4FC17" w14:textId="77777777" w:rsidR="00D219FA" w:rsidRPr="00CC5449" w:rsidRDefault="00D219FA" w:rsidP="002B0F76">
            <w:pPr>
              <w:spacing w:after="0" w:line="300" w:lineRule="auto"/>
              <w:jc w:val="center"/>
              <w:rPr>
                <w:rFonts w:cs="Arial"/>
                <w:sz w:val="20"/>
                <w:szCs w:val="20"/>
              </w:rPr>
            </w:pPr>
            <w:r>
              <w:rPr>
                <w:rFonts w:cs="Arial"/>
                <w:sz w:val="20"/>
                <w:szCs w:val="20"/>
              </w:rPr>
              <w:t>1.00</w:t>
            </w:r>
          </w:p>
        </w:tc>
      </w:tr>
      <w:tr w:rsidR="00D219FA" w:rsidRPr="00CC5449" w14:paraId="3E72983B" w14:textId="77777777" w:rsidTr="002B0F76">
        <w:trPr>
          <w:trHeight w:val="80"/>
        </w:trPr>
        <w:tc>
          <w:tcPr>
            <w:tcW w:w="3065" w:type="dxa"/>
          </w:tcPr>
          <w:p w14:paraId="75DF0D35" w14:textId="77777777" w:rsidR="00D219FA" w:rsidRPr="00CC5449" w:rsidRDefault="00D219FA" w:rsidP="002B0F76">
            <w:pPr>
              <w:spacing w:after="0"/>
              <w:rPr>
                <w:rFonts w:cs="Arial"/>
                <w:b/>
                <w:bCs/>
                <w:sz w:val="20"/>
                <w:szCs w:val="20"/>
              </w:rPr>
            </w:pPr>
            <w:r w:rsidRPr="00CC5449">
              <w:rPr>
                <w:rFonts w:cs="Arial"/>
                <w:b/>
                <w:bCs/>
                <w:sz w:val="20"/>
                <w:szCs w:val="20"/>
              </w:rPr>
              <w:t>Debt</w:t>
            </w:r>
            <w:r>
              <w:rPr>
                <w:rFonts w:cs="Arial"/>
                <w:b/>
                <w:bCs/>
                <w:sz w:val="20"/>
                <w:szCs w:val="20"/>
              </w:rPr>
              <w:t xml:space="preserve"> </w:t>
            </w:r>
            <w:r w:rsidRPr="00CC5449">
              <w:rPr>
                <w:rFonts w:cs="Arial"/>
                <w:b/>
                <w:bCs/>
                <w:sz w:val="20"/>
                <w:szCs w:val="20"/>
              </w:rPr>
              <w:t>Service Cover</w:t>
            </w:r>
            <w:r>
              <w:rPr>
                <w:rFonts w:cs="Arial"/>
                <w:b/>
                <w:bCs/>
                <w:sz w:val="20"/>
                <w:szCs w:val="20"/>
              </w:rPr>
              <w:t>age</w:t>
            </w:r>
          </w:p>
        </w:tc>
        <w:tc>
          <w:tcPr>
            <w:tcW w:w="1970" w:type="dxa"/>
          </w:tcPr>
          <w:p w14:paraId="090AABBC" w14:textId="77777777" w:rsidR="00D219FA" w:rsidRDefault="00D219FA" w:rsidP="002B0F76">
            <w:pPr>
              <w:spacing w:after="0"/>
              <w:jc w:val="center"/>
              <w:rPr>
                <w:rFonts w:cs="Arial"/>
                <w:sz w:val="20"/>
                <w:szCs w:val="20"/>
              </w:rPr>
            </w:pPr>
            <w:r>
              <w:rPr>
                <w:rFonts w:cs="Arial"/>
                <w:sz w:val="20"/>
                <w:szCs w:val="20"/>
              </w:rPr>
              <w:t>4.30</w:t>
            </w:r>
          </w:p>
        </w:tc>
        <w:tc>
          <w:tcPr>
            <w:tcW w:w="1968" w:type="dxa"/>
          </w:tcPr>
          <w:p w14:paraId="796AF9F9" w14:textId="77777777" w:rsidR="00D219FA" w:rsidRDefault="00D219FA" w:rsidP="002B0F76">
            <w:pPr>
              <w:spacing w:after="0"/>
              <w:jc w:val="center"/>
              <w:rPr>
                <w:rFonts w:cs="Arial"/>
                <w:sz w:val="20"/>
                <w:szCs w:val="20"/>
              </w:rPr>
            </w:pPr>
            <w:r>
              <w:rPr>
                <w:rFonts w:cs="Arial"/>
                <w:sz w:val="20"/>
                <w:szCs w:val="20"/>
              </w:rPr>
              <w:t>9.25</w:t>
            </w:r>
          </w:p>
        </w:tc>
        <w:tc>
          <w:tcPr>
            <w:tcW w:w="1751" w:type="dxa"/>
          </w:tcPr>
          <w:p w14:paraId="1804CBE2" w14:textId="77777777" w:rsidR="00D219FA" w:rsidRPr="00CC5449" w:rsidRDefault="00D219FA" w:rsidP="002B0F76">
            <w:pPr>
              <w:spacing w:after="0"/>
              <w:jc w:val="center"/>
              <w:rPr>
                <w:rFonts w:cs="Arial"/>
                <w:sz w:val="20"/>
                <w:szCs w:val="20"/>
              </w:rPr>
            </w:pPr>
            <w:r w:rsidRPr="00CC5449">
              <w:rPr>
                <w:rFonts w:cs="Arial"/>
                <w:sz w:val="20"/>
                <w:szCs w:val="20"/>
              </w:rPr>
              <w:t>20%</w:t>
            </w:r>
          </w:p>
        </w:tc>
        <w:tc>
          <w:tcPr>
            <w:tcW w:w="1751" w:type="dxa"/>
          </w:tcPr>
          <w:p w14:paraId="0B0E4B7C" w14:textId="77777777" w:rsidR="00D219FA" w:rsidRDefault="00D219FA" w:rsidP="002B0F76">
            <w:pPr>
              <w:spacing w:after="0" w:line="300" w:lineRule="auto"/>
              <w:jc w:val="center"/>
              <w:rPr>
                <w:rFonts w:cs="Arial"/>
                <w:sz w:val="20"/>
                <w:szCs w:val="20"/>
              </w:rPr>
            </w:pPr>
            <w:r>
              <w:rPr>
                <w:rFonts w:cs="Arial"/>
                <w:sz w:val="20"/>
                <w:szCs w:val="20"/>
              </w:rPr>
              <w:t>1.85</w:t>
            </w:r>
          </w:p>
        </w:tc>
      </w:tr>
      <w:tr w:rsidR="00D219FA" w:rsidRPr="00CC5449" w14:paraId="3AD086C7" w14:textId="77777777" w:rsidTr="002B0F76">
        <w:trPr>
          <w:trHeight w:val="80"/>
        </w:trPr>
        <w:tc>
          <w:tcPr>
            <w:tcW w:w="3065" w:type="dxa"/>
          </w:tcPr>
          <w:p w14:paraId="4D46F483" w14:textId="77777777" w:rsidR="00D219FA" w:rsidRPr="00CC5449" w:rsidRDefault="00D219FA" w:rsidP="002B0F76">
            <w:pPr>
              <w:spacing w:after="0"/>
              <w:rPr>
                <w:rFonts w:cs="Arial"/>
                <w:sz w:val="20"/>
                <w:szCs w:val="20"/>
              </w:rPr>
            </w:pPr>
            <w:r w:rsidRPr="00CC5449">
              <w:rPr>
                <w:rFonts w:cs="Arial"/>
                <w:b/>
                <w:bCs/>
                <w:sz w:val="20"/>
                <w:szCs w:val="20"/>
              </w:rPr>
              <w:t xml:space="preserve">Operating Surplus </w:t>
            </w:r>
          </w:p>
        </w:tc>
        <w:tc>
          <w:tcPr>
            <w:tcW w:w="1970" w:type="dxa"/>
          </w:tcPr>
          <w:p w14:paraId="361F20B4" w14:textId="77777777" w:rsidR="00D219FA" w:rsidRPr="00CC5449" w:rsidRDefault="00D219FA" w:rsidP="002B0F76">
            <w:pPr>
              <w:spacing w:after="0"/>
              <w:jc w:val="center"/>
              <w:rPr>
                <w:rFonts w:cs="Arial"/>
                <w:sz w:val="20"/>
                <w:szCs w:val="20"/>
              </w:rPr>
            </w:pPr>
            <w:r>
              <w:rPr>
                <w:rFonts w:cs="Arial"/>
                <w:sz w:val="20"/>
                <w:szCs w:val="20"/>
              </w:rPr>
              <w:t>0.03</w:t>
            </w:r>
          </w:p>
        </w:tc>
        <w:tc>
          <w:tcPr>
            <w:tcW w:w="1968" w:type="dxa"/>
          </w:tcPr>
          <w:p w14:paraId="63366E6F" w14:textId="77777777" w:rsidR="00D219FA" w:rsidRPr="00CC5449" w:rsidRDefault="00D219FA" w:rsidP="002B0F76">
            <w:pPr>
              <w:spacing w:after="0"/>
              <w:jc w:val="center"/>
              <w:rPr>
                <w:rFonts w:cs="Arial"/>
                <w:sz w:val="20"/>
                <w:szCs w:val="20"/>
              </w:rPr>
            </w:pPr>
            <w:r>
              <w:rPr>
                <w:rFonts w:cs="Arial"/>
                <w:sz w:val="20"/>
                <w:szCs w:val="20"/>
              </w:rPr>
              <w:t>7.00</w:t>
            </w:r>
          </w:p>
        </w:tc>
        <w:tc>
          <w:tcPr>
            <w:tcW w:w="1751" w:type="dxa"/>
          </w:tcPr>
          <w:p w14:paraId="3A377862" w14:textId="77777777" w:rsidR="00D219FA" w:rsidRPr="00CC5449" w:rsidRDefault="00D219FA" w:rsidP="002B0F76">
            <w:pPr>
              <w:spacing w:after="0"/>
              <w:jc w:val="center"/>
              <w:rPr>
                <w:rFonts w:cs="Arial"/>
                <w:sz w:val="20"/>
                <w:szCs w:val="20"/>
              </w:rPr>
            </w:pPr>
            <w:r w:rsidRPr="00CC5449">
              <w:rPr>
                <w:rFonts w:cs="Arial"/>
                <w:sz w:val="20"/>
                <w:szCs w:val="20"/>
              </w:rPr>
              <w:t>40%</w:t>
            </w:r>
          </w:p>
        </w:tc>
        <w:tc>
          <w:tcPr>
            <w:tcW w:w="1751" w:type="dxa"/>
          </w:tcPr>
          <w:p w14:paraId="7D121C31" w14:textId="77777777" w:rsidR="00D219FA" w:rsidRPr="00CC5449" w:rsidRDefault="00D219FA" w:rsidP="002B0F76">
            <w:pPr>
              <w:spacing w:after="0" w:line="300" w:lineRule="auto"/>
              <w:jc w:val="center"/>
              <w:rPr>
                <w:rFonts w:cs="Arial"/>
                <w:sz w:val="20"/>
                <w:szCs w:val="20"/>
              </w:rPr>
            </w:pPr>
            <w:r>
              <w:rPr>
                <w:rFonts w:cs="Arial"/>
                <w:sz w:val="20"/>
                <w:szCs w:val="20"/>
              </w:rPr>
              <w:t>2.80</w:t>
            </w:r>
          </w:p>
        </w:tc>
      </w:tr>
      <w:tr w:rsidR="00D219FA" w:rsidRPr="00CC5449" w14:paraId="068E2278" w14:textId="77777777" w:rsidTr="002B0F76">
        <w:trPr>
          <w:trHeight w:val="80"/>
        </w:trPr>
        <w:tc>
          <w:tcPr>
            <w:tcW w:w="3065" w:type="dxa"/>
          </w:tcPr>
          <w:p w14:paraId="6CCF473F" w14:textId="77777777" w:rsidR="00D219FA" w:rsidRPr="00CC5449" w:rsidRDefault="00D219FA" w:rsidP="002B0F76">
            <w:pPr>
              <w:spacing w:after="0"/>
              <w:rPr>
                <w:rFonts w:cs="Arial"/>
                <w:sz w:val="20"/>
                <w:szCs w:val="20"/>
              </w:rPr>
            </w:pPr>
            <w:r w:rsidRPr="00CC5449">
              <w:rPr>
                <w:rFonts w:cs="Arial"/>
                <w:b/>
                <w:bCs/>
                <w:sz w:val="20"/>
                <w:szCs w:val="20"/>
              </w:rPr>
              <w:t xml:space="preserve">Net Financial Liability </w:t>
            </w:r>
          </w:p>
        </w:tc>
        <w:tc>
          <w:tcPr>
            <w:tcW w:w="1970" w:type="dxa"/>
          </w:tcPr>
          <w:p w14:paraId="66ED3C9D" w14:textId="77777777" w:rsidR="00D219FA" w:rsidRPr="00CC5449" w:rsidRDefault="00D219FA" w:rsidP="002B0F76">
            <w:pPr>
              <w:spacing w:after="0"/>
              <w:jc w:val="center"/>
              <w:rPr>
                <w:rFonts w:cs="Arial"/>
                <w:sz w:val="20"/>
                <w:szCs w:val="20"/>
              </w:rPr>
            </w:pPr>
            <w:r w:rsidRPr="00280F9D">
              <w:rPr>
                <w:rFonts w:cs="Arial"/>
                <w:color w:val="FF0000"/>
                <w:sz w:val="20"/>
                <w:szCs w:val="20"/>
              </w:rPr>
              <w:t>-0.32</w:t>
            </w:r>
          </w:p>
        </w:tc>
        <w:tc>
          <w:tcPr>
            <w:tcW w:w="1968" w:type="dxa"/>
          </w:tcPr>
          <w:p w14:paraId="363B2F46" w14:textId="77777777" w:rsidR="00D219FA" w:rsidRPr="00CC5449" w:rsidRDefault="00D219FA" w:rsidP="002B0F76">
            <w:pPr>
              <w:spacing w:after="0"/>
              <w:jc w:val="center"/>
              <w:rPr>
                <w:rFonts w:cs="Arial"/>
                <w:sz w:val="20"/>
                <w:szCs w:val="20"/>
              </w:rPr>
            </w:pPr>
            <w:r>
              <w:rPr>
                <w:rFonts w:cs="Arial"/>
                <w:sz w:val="20"/>
                <w:szCs w:val="20"/>
              </w:rPr>
              <w:t>10.00</w:t>
            </w:r>
          </w:p>
        </w:tc>
        <w:tc>
          <w:tcPr>
            <w:tcW w:w="1751" w:type="dxa"/>
          </w:tcPr>
          <w:p w14:paraId="17915AE9" w14:textId="77777777" w:rsidR="00D219FA" w:rsidRPr="00CC5449" w:rsidRDefault="00D219FA" w:rsidP="002B0F76">
            <w:pPr>
              <w:spacing w:after="0"/>
              <w:jc w:val="center"/>
              <w:rPr>
                <w:rFonts w:cs="Arial"/>
                <w:sz w:val="20"/>
                <w:szCs w:val="20"/>
              </w:rPr>
            </w:pPr>
            <w:r w:rsidRPr="00CC5449">
              <w:rPr>
                <w:rFonts w:cs="Arial"/>
                <w:sz w:val="20"/>
                <w:szCs w:val="20"/>
              </w:rPr>
              <w:t>30%</w:t>
            </w:r>
          </w:p>
        </w:tc>
        <w:tc>
          <w:tcPr>
            <w:tcW w:w="1751" w:type="dxa"/>
          </w:tcPr>
          <w:p w14:paraId="3E596540" w14:textId="77777777" w:rsidR="00D219FA" w:rsidRPr="00CC5449" w:rsidRDefault="00D219FA" w:rsidP="002B0F76">
            <w:pPr>
              <w:spacing w:after="0" w:line="300" w:lineRule="auto"/>
              <w:jc w:val="center"/>
              <w:rPr>
                <w:rFonts w:cs="Arial"/>
                <w:sz w:val="20"/>
                <w:szCs w:val="20"/>
              </w:rPr>
            </w:pPr>
            <w:r>
              <w:rPr>
                <w:rFonts w:cs="Arial"/>
                <w:sz w:val="20"/>
                <w:szCs w:val="20"/>
              </w:rPr>
              <w:t>3.00</w:t>
            </w:r>
          </w:p>
        </w:tc>
      </w:tr>
      <w:tr w:rsidR="00D219FA" w:rsidRPr="00CC5449" w14:paraId="41999965" w14:textId="77777777" w:rsidTr="002B0F76">
        <w:trPr>
          <w:trHeight w:val="80"/>
        </w:trPr>
        <w:tc>
          <w:tcPr>
            <w:tcW w:w="7003" w:type="dxa"/>
            <w:gridSpan w:val="3"/>
          </w:tcPr>
          <w:p w14:paraId="15CCFD62" w14:textId="77777777" w:rsidR="00D219FA" w:rsidRPr="00CC5449" w:rsidRDefault="00D219FA" w:rsidP="002B0F76">
            <w:pPr>
              <w:spacing w:after="0"/>
              <w:jc w:val="right"/>
              <w:rPr>
                <w:rFonts w:cs="Arial"/>
                <w:sz w:val="20"/>
                <w:szCs w:val="20"/>
              </w:rPr>
            </w:pPr>
            <w:r>
              <w:rPr>
                <w:rFonts w:cs="Arial"/>
                <w:sz w:val="20"/>
                <w:szCs w:val="20"/>
              </w:rPr>
              <w:t>Total</w:t>
            </w:r>
          </w:p>
        </w:tc>
        <w:tc>
          <w:tcPr>
            <w:tcW w:w="1751" w:type="dxa"/>
          </w:tcPr>
          <w:p w14:paraId="74215D62" w14:textId="77777777" w:rsidR="00D219FA" w:rsidRPr="00CC5449" w:rsidRDefault="00D219FA" w:rsidP="002B0F76">
            <w:pPr>
              <w:spacing w:after="0"/>
              <w:jc w:val="center"/>
              <w:rPr>
                <w:rFonts w:cs="Arial"/>
                <w:sz w:val="20"/>
                <w:szCs w:val="20"/>
              </w:rPr>
            </w:pPr>
            <w:r w:rsidRPr="00CC5449">
              <w:rPr>
                <w:rFonts w:cs="Arial"/>
                <w:b/>
                <w:bCs/>
                <w:sz w:val="20"/>
                <w:szCs w:val="20"/>
              </w:rPr>
              <w:t>100%</w:t>
            </w:r>
          </w:p>
        </w:tc>
        <w:tc>
          <w:tcPr>
            <w:tcW w:w="1751" w:type="dxa"/>
          </w:tcPr>
          <w:p w14:paraId="3F086F10" w14:textId="77777777" w:rsidR="00D219FA" w:rsidRPr="00280F9D" w:rsidRDefault="00D219FA" w:rsidP="002B0F76">
            <w:pPr>
              <w:spacing w:after="0" w:line="300" w:lineRule="auto"/>
              <w:jc w:val="center"/>
              <w:rPr>
                <w:rFonts w:cs="Arial"/>
                <w:b/>
                <w:sz w:val="20"/>
                <w:szCs w:val="20"/>
              </w:rPr>
            </w:pPr>
            <w:r w:rsidRPr="00280F9D">
              <w:rPr>
                <w:rFonts w:cs="Arial"/>
                <w:b/>
                <w:bCs/>
                <w:sz w:val="20"/>
                <w:szCs w:val="20"/>
              </w:rPr>
              <w:t>8.65</w:t>
            </w:r>
          </w:p>
        </w:tc>
      </w:tr>
      <w:tr w:rsidR="00D219FA" w:rsidRPr="00CC5449" w14:paraId="7538C31C" w14:textId="77777777" w:rsidTr="002B0F76">
        <w:trPr>
          <w:trHeight w:val="80"/>
        </w:trPr>
        <w:tc>
          <w:tcPr>
            <w:tcW w:w="8754" w:type="dxa"/>
            <w:gridSpan w:val="4"/>
          </w:tcPr>
          <w:p w14:paraId="3C9E96B3" w14:textId="77777777" w:rsidR="00D219FA" w:rsidRPr="00CC5449" w:rsidRDefault="00D219FA" w:rsidP="002B0F76">
            <w:pPr>
              <w:spacing w:after="0"/>
              <w:jc w:val="right"/>
              <w:rPr>
                <w:rFonts w:cs="Arial"/>
                <w:sz w:val="20"/>
                <w:szCs w:val="20"/>
              </w:rPr>
            </w:pPr>
            <w:r>
              <w:rPr>
                <w:rFonts w:cs="Arial"/>
                <w:sz w:val="20"/>
                <w:szCs w:val="20"/>
              </w:rPr>
              <w:t>Scaling Factor</w:t>
            </w:r>
          </w:p>
        </w:tc>
        <w:tc>
          <w:tcPr>
            <w:tcW w:w="1751" w:type="dxa"/>
          </w:tcPr>
          <w:p w14:paraId="2B083728" w14:textId="77777777" w:rsidR="00D219FA" w:rsidRPr="00CC5449" w:rsidRDefault="00D219FA" w:rsidP="002B0F76">
            <w:pPr>
              <w:spacing w:after="0" w:line="300" w:lineRule="auto"/>
              <w:jc w:val="center"/>
              <w:rPr>
                <w:rFonts w:cs="Arial"/>
                <w:sz w:val="20"/>
                <w:szCs w:val="20"/>
              </w:rPr>
            </w:pPr>
            <w:r>
              <w:rPr>
                <w:rFonts w:cs="Arial"/>
                <w:sz w:val="20"/>
                <w:szCs w:val="20"/>
              </w:rPr>
              <w:t>10</w:t>
            </w:r>
          </w:p>
        </w:tc>
      </w:tr>
      <w:tr w:rsidR="00D219FA" w:rsidRPr="00CC5449" w14:paraId="650B7853" w14:textId="77777777" w:rsidTr="002B0F76">
        <w:trPr>
          <w:trHeight w:val="80"/>
        </w:trPr>
        <w:tc>
          <w:tcPr>
            <w:tcW w:w="8754" w:type="dxa"/>
            <w:gridSpan w:val="4"/>
          </w:tcPr>
          <w:p w14:paraId="1DA1F140" w14:textId="77777777" w:rsidR="00D219FA" w:rsidRPr="00CC5449" w:rsidRDefault="00D219FA" w:rsidP="002B0F76">
            <w:pPr>
              <w:spacing w:after="0"/>
              <w:jc w:val="right"/>
              <w:rPr>
                <w:rFonts w:cs="Arial"/>
                <w:sz w:val="20"/>
                <w:szCs w:val="20"/>
              </w:rPr>
            </w:pPr>
            <w:r>
              <w:rPr>
                <w:rFonts w:cs="Arial"/>
                <w:sz w:val="20"/>
                <w:szCs w:val="20"/>
              </w:rPr>
              <w:t>LGFI Score</w:t>
            </w:r>
          </w:p>
        </w:tc>
        <w:tc>
          <w:tcPr>
            <w:tcW w:w="1751" w:type="dxa"/>
          </w:tcPr>
          <w:p w14:paraId="68B0E343" w14:textId="77777777" w:rsidR="00D219FA" w:rsidRPr="00280F9D" w:rsidRDefault="00D219FA" w:rsidP="002B0F76">
            <w:pPr>
              <w:spacing w:after="0" w:line="300" w:lineRule="auto"/>
              <w:jc w:val="center"/>
              <w:rPr>
                <w:rFonts w:cs="Arial"/>
                <w:b/>
                <w:sz w:val="20"/>
                <w:szCs w:val="20"/>
              </w:rPr>
            </w:pPr>
            <w:r w:rsidRPr="00280F9D">
              <w:rPr>
                <w:rFonts w:cs="Arial"/>
                <w:b/>
                <w:bCs/>
                <w:sz w:val="20"/>
                <w:szCs w:val="20"/>
              </w:rPr>
              <w:t>86.5</w:t>
            </w:r>
          </w:p>
        </w:tc>
      </w:tr>
    </w:tbl>
    <w:p w14:paraId="0413F314" w14:textId="77777777" w:rsidR="00D219FA" w:rsidRDefault="00D219FA" w:rsidP="00D219FA">
      <w:pPr>
        <w:rPr>
          <w:lang w:eastAsia="en-AU"/>
        </w:rPr>
      </w:pPr>
    </w:p>
    <w:p w14:paraId="0C610176" w14:textId="7BFB6EC3" w:rsidR="00D219FA" w:rsidRDefault="00D219FA" w:rsidP="002D24C5">
      <w:pPr>
        <w:pStyle w:val="Heading1"/>
      </w:pPr>
      <w:bookmarkStart w:id="17" w:name="_Toc442946969"/>
      <w:bookmarkStart w:id="18" w:name="_Toc188437768"/>
      <w:bookmarkStart w:id="19" w:name="_Toc192499396"/>
      <w:bookmarkEnd w:id="12"/>
      <w:r>
        <w:t xml:space="preserve">2.0 Additional </w:t>
      </w:r>
      <w:r w:rsidR="0004025A">
        <w:t>o</w:t>
      </w:r>
      <w:r w:rsidRPr="001D75A0">
        <w:t>utputs</w:t>
      </w:r>
      <w:bookmarkEnd w:id="17"/>
      <w:r>
        <w:t xml:space="preserve"> for interpretation</w:t>
      </w:r>
      <w:bookmarkEnd w:id="18"/>
      <w:bookmarkEnd w:id="19"/>
    </w:p>
    <w:p w14:paraId="0081D261" w14:textId="77777777" w:rsidR="00D219FA" w:rsidRDefault="00D219FA" w:rsidP="00D219FA">
      <w:r>
        <w:t>The MyCouncil website continues to be the primary option to access, view and interpret local government financial and demographic data in a central point.</w:t>
      </w:r>
    </w:p>
    <w:p w14:paraId="0F7083CC" w14:textId="77777777" w:rsidR="00D219FA" w:rsidRPr="001344E5" w:rsidRDefault="00D219FA" w:rsidP="00D219FA">
      <w:r>
        <w:t>This includes the publication of the LGFI, which will replace the existing FHI data on the MyCouncil web site.</w:t>
      </w:r>
    </w:p>
    <w:p w14:paraId="6A7CD132" w14:textId="6948E746" w:rsidR="00D219FA" w:rsidRPr="001D75A0" w:rsidRDefault="00D219FA" w:rsidP="00D219FA">
      <w:pPr>
        <w:pStyle w:val="Heading2"/>
      </w:pPr>
      <w:bookmarkStart w:id="20" w:name="_Toc442946970"/>
      <w:bookmarkStart w:id="21" w:name="_Toc188437769"/>
      <w:bookmarkStart w:id="22" w:name="_Toc192499397"/>
      <w:r>
        <w:t xml:space="preserve">2.1 </w:t>
      </w:r>
      <w:r w:rsidRPr="001D75A0">
        <w:t xml:space="preserve">Comparison </w:t>
      </w:r>
      <w:r w:rsidR="0004025A">
        <w:t>s</w:t>
      </w:r>
      <w:r w:rsidRPr="001D75A0">
        <w:t>elector</w:t>
      </w:r>
      <w:bookmarkEnd w:id="20"/>
      <w:bookmarkEnd w:id="21"/>
      <w:bookmarkEnd w:id="22"/>
    </w:p>
    <w:p w14:paraId="51725753" w14:textId="77777777" w:rsidR="00D219FA" w:rsidRPr="00273179" w:rsidRDefault="00D219FA" w:rsidP="00D219FA">
      <w:r>
        <w:t xml:space="preserve">On the MyCouncil website, users </w:t>
      </w:r>
      <w:proofErr w:type="gramStart"/>
      <w:r>
        <w:t>are able to</w:t>
      </w:r>
      <w:proofErr w:type="gramEnd"/>
      <w:r>
        <w:t xml:space="preserve"> select a primary LG and a secondary LG to allow the user to compare key data between local governments. </w:t>
      </w:r>
    </w:p>
    <w:p w14:paraId="2A8CD961" w14:textId="77777777" w:rsidR="00D219FA" w:rsidRPr="00273179" w:rsidRDefault="00D219FA" w:rsidP="00D219FA">
      <w:pPr>
        <w:pStyle w:val="Heading2"/>
      </w:pPr>
      <w:bookmarkStart w:id="23" w:name="_Toc188437770"/>
      <w:bookmarkStart w:id="24" w:name="_Toc192499398"/>
      <w:r>
        <w:t>2.2 Bar graphs</w:t>
      </w:r>
      <w:bookmarkEnd w:id="23"/>
      <w:bookmarkEnd w:id="24"/>
    </w:p>
    <w:p w14:paraId="787C29FD" w14:textId="77777777" w:rsidR="00D219FA" w:rsidRPr="00D219FA" w:rsidRDefault="00D219FA" w:rsidP="00D219FA">
      <w:r w:rsidRPr="00D219FA">
        <w:t>Once all four financial ratios have been scored for LGs, the scores for a single financial year will be plotted in a series of vertical bar graphs on the MyCouncil website.</w:t>
      </w:r>
    </w:p>
    <w:p w14:paraId="4E63C140" w14:textId="77777777" w:rsidR="00D219FA" w:rsidRPr="00D219FA" w:rsidRDefault="00D219FA" w:rsidP="00D219FA">
      <w:r w:rsidRPr="00D219FA">
        <w:t xml:space="preserve">The LGFI will be shown on one bar graph, with the individual ratios also plotted on individual graphs (example below). </w:t>
      </w:r>
    </w:p>
    <w:p w14:paraId="63F99548" w14:textId="77777777" w:rsidR="00D219FA" w:rsidRPr="004D2497" w:rsidRDefault="00D219FA" w:rsidP="00D219FA">
      <w:pPr>
        <w:spacing w:line="300" w:lineRule="auto"/>
        <w:jc w:val="both"/>
        <w:rPr>
          <w:rFonts w:cs="Arial"/>
        </w:rPr>
      </w:pPr>
      <w:r>
        <w:rPr>
          <w:rFonts w:cs="Arial"/>
          <w:b/>
          <w:bCs/>
        </w:rPr>
        <w:t>Figure 3</w:t>
      </w:r>
      <w:r w:rsidRPr="004D2497">
        <w:rPr>
          <w:rFonts w:cs="Arial"/>
          <w:b/>
          <w:bCs/>
        </w:rPr>
        <w:t xml:space="preserve">: </w:t>
      </w:r>
      <w:r>
        <w:rPr>
          <w:rFonts w:cs="Arial"/>
        </w:rPr>
        <w:t>Example bar charts of LGFI Ratios and the LGFI Score for an LG</w:t>
      </w:r>
    </w:p>
    <w:p w14:paraId="78E0CD9C" w14:textId="77777777" w:rsidR="00D219FA" w:rsidRDefault="00D219FA" w:rsidP="00D219FA">
      <w:pPr>
        <w:spacing w:before="240" w:after="200" w:line="276" w:lineRule="auto"/>
        <w:jc w:val="both"/>
        <w:rPr>
          <w:rFonts w:cs="Arial"/>
        </w:rPr>
      </w:pPr>
      <w:r>
        <w:rPr>
          <w:noProof/>
        </w:rPr>
        <w:lastRenderedPageBreak/>
        <w:drawing>
          <wp:inline distT="0" distB="0" distL="0" distR="0" wp14:anchorId="2CA2DB87" wp14:editId="7ECC99EA">
            <wp:extent cx="5731510" cy="2147570"/>
            <wp:effectExtent l="0" t="0" r="2540" b="5080"/>
            <wp:docPr id="18057607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60707" name="Picture 1" descr="A screenshot of a computer&#10;&#10;Description automatically generated"/>
                    <pic:cNvPicPr/>
                  </pic:nvPicPr>
                  <pic:blipFill>
                    <a:blip r:embed="rId19"/>
                    <a:stretch>
                      <a:fillRect/>
                    </a:stretch>
                  </pic:blipFill>
                  <pic:spPr>
                    <a:xfrm>
                      <a:off x="0" y="0"/>
                      <a:ext cx="5731510" cy="2147570"/>
                    </a:xfrm>
                    <a:prstGeom prst="rect">
                      <a:avLst/>
                    </a:prstGeom>
                  </pic:spPr>
                </pic:pic>
              </a:graphicData>
            </a:graphic>
          </wp:inline>
        </w:drawing>
      </w:r>
      <w:r w:rsidRPr="00751EAC" w:rsidDel="006F52F7">
        <w:rPr>
          <w:rFonts w:cs="Arial"/>
          <w:noProof/>
        </w:rPr>
        <w:t xml:space="preserve"> </w:t>
      </w:r>
    </w:p>
    <w:p w14:paraId="633CCD6F" w14:textId="77777777" w:rsidR="00D219FA" w:rsidRPr="00D219FA" w:rsidRDefault="00D219FA" w:rsidP="00D219FA">
      <w:r w:rsidRPr="00D219FA">
        <w:t xml:space="preserve">These plots allow MyCouncil users to visually assess aspects of a local government performance across multiple years for each of the four LGFI ratios as well as the overall LGFI score. </w:t>
      </w:r>
    </w:p>
    <w:p w14:paraId="2EA20D97" w14:textId="77777777" w:rsidR="00D219FA" w:rsidRDefault="00D219FA" w:rsidP="00D219FA">
      <w:pPr>
        <w:spacing w:before="240" w:after="200" w:line="276" w:lineRule="auto"/>
        <w:jc w:val="both"/>
        <w:rPr>
          <w:rFonts w:cs="Arial"/>
        </w:rPr>
      </w:pPr>
      <w:r>
        <w:rPr>
          <w:rFonts w:cs="Arial"/>
        </w:rPr>
        <w:t>Included in each graph is:</w:t>
      </w:r>
    </w:p>
    <w:p w14:paraId="19F033C6" w14:textId="77777777" w:rsidR="00D219FA" w:rsidRPr="00D219FA" w:rsidRDefault="00D219FA" w:rsidP="00D219FA">
      <w:pPr>
        <w:pStyle w:val="Listbullet"/>
      </w:pPr>
      <w:r w:rsidRPr="00D219FA">
        <w:t>a benchmark score, which shows if a local government for any given year is performing above or below the expectation for that measure; and</w:t>
      </w:r>
    </w:p>
    <w:p w14:paraId="2EFEE535" w14:textId="77777777" w:rsidR="00D219FA" w:rsidRPr="00D219FA" w:rsidRDefault="00D219FA" w:rsidP="00D219FA">
      <w:pPr>
        <w:pStyle w:val="Listbullet"/>
      </w:pPr>
      <w:r w:rsidRPr="00D219FA">
        <w:t>Local governments will be invited to also provide comments / insights for each ratio graph and the LGFI graph, which will be displayed on the MyCouncil web site.</w:t>
      </w:r>
    </w:p>
    <w:p w14:paraId="03ABF787" w14:textId="77777777" w:rsidR="00D219FA" w:rsidRPr="00D219FA" w:rsidRDefault="00D219FA" w:rsidP="00D219FA">
      <w:r w:rsidRPr="00D219FA">
        <w:t>It is intended that future capabilities will allow for benchmarking of local governments against alternate cohort scores (such as local government tiers or Salaries and Allowance Tribunal bands).</w:t>
      </w:r>
    </w:p>
    <w:p w14:paraId="77439E47" w14:textId="77777777" w:rsidR="00D219FA" w:rsidRDefault="00D219FA" w:rsidP="002D24C5">
      <w:pPr>
        <w:pStyle w:val="Heading1"/>
        <w:rPr>
          <w:rFonts w:asciiTheme="majorHAnsi" w:hAnsiTheme="majorHAnsi"/>
          <w:color w:val="0F4761" w:themeColor="accent1" w:themeShade="BF"/>
          <w:sz w:val="32"/>
          <w:szCs w:val="32"/>
        </w:rPr>
      </w:pPr>
      <w:r>
        <w:br w:type="page"/>
      </w:r>
    </w:p>
    <w:p w14:paraId="781BF862" w14:textId="77777777" w:rsidR="00D219FA" w:rsidRPr="005A6F84" w:rsidRDefault="00D219FA" w:rsidP="00D219FA">
      <w:pPr>
        <w:pStyle w:val="Heading2"/>
      </w:pPr>
      <w:bookmarkStart w:id="25" w:name="_Toc188437771"/>
      <w:bookmarkStart w:id="26" w:name="_Toc192499399"/>
      <w:r>
        <w:lastRenderedPageBreak/>
        <w:t xml:space="preserve">Appendix 1: </w:t>
      </w:r>
      <w:r w:rsidRPr="005A6F84">
        <w:t>Rationale for the exclusion of asset ratios</w:t>
      </w:r>
      <w:bookmarkEnd w:id="25"/>
      <w:bookmarkEnd w:id="26"/>
    </w:p>
    <w:p w14:paraId="6414CBB3" w14:textId="77777777" w:rsidR="00D219FA" w:rsidRPr="00D219FA" w:rsidRDefault="00D219FA" w:rsidP="00D219FA">
      <w:r w:rsidRPr="00D219FA">
        <w:t xml:space="preserve">The former FHI incorporated the following three asset-related ratios </w:t>
      </w:r>
      <w:proofErr w:type="gramStart"/>
      <w:r w:rsidRPr="00D219FA">
        <w:t>in an attempt to</w:t>
      </w:r>
      <w:proofErr w:type="gramEnd"/>
      <w:r w:rsidRPr="00D219FA">
        <w:t xml:space="preserve"> gauge the extent to which LGs are renewing or refreshing capital assets as and when the latter reach the end of their useful life: </w:t>
      </w:r>
    </w:p>
    <w:p w14:paraId="0CD774DC" w14:textId="77777777" w:rsidR="00D219FA" w:rsidRPr="00D219FA" w:rsidRDefault="00D219FA" w:rsidP="00D219FA">
      <w:pPr>
        <w:pStyle w:val="Listnumber111"/>
        <w:numPr>
          <w:ilvl w:val="0"/>
          <w:numId w:val="39"/>
        </w:numPr>
        <w:tabs>
          <w:tab w:val="clear" w:pos="1418"/>
          <w:tab w:val="num" w:pos="709"/>
        </w:tabs>
        <w:ind w:left="709"/>
      </w:pPr>
      <w:r w:rsidRPr="00D219FA">
        <w:t xml:space="preserve">Asset consumption </w:t>
      </w:r>
      <w:proofErr w:type="gramStart"/>
      <w:r w:rsidRPr="00D219FA">
        <w:t>ratio;</w:t>
      </w:r>
      <w:proofErr w:type="gramEnd"/>
    </w:p>
    <w:p w14:paraId="40AAE5CD" w14:textId="77777777" w:rsidR="00D219FA" w:rsidRPr="00D219FA" w:rsidRDefault="00D219FA" w:rsidP="00D219FA">
      <w:pPr>
        <w:pStyle w:val="Listnumber111"/>
        <w:tabs>
          <w:tab w:val="clear" w:pos="1418"/>
          <w:tab w:val="num" w:pos="709"/>
        </w:tabs>
        <w:ind w:left="709"/>
      </w:pPr>
      <w:r w:rsidRPr="00D219FA">
        <w:t>Asset renewal funding ratio; and</w:t>
      </w:r>
    </w:p>
    <w:p w14:paraId="773EC70E" w14:textId="77777777" w:rsidR="00D219FA" w:rsidRPr="00D219FA" w:rsidRDefault="00D219FA" w:rsidP="00D219FA">
      <w:pPr>
        <w:pStyle w:val="Listnumber111"/>
        <w:tabs>
          <w:tab w:val="clear" w:pos="1418"/>
          <w:tab w:val="num" w:pos="709"/>
        </w:tabs>
        <w:ind w:left="709"/>
      </w:pPr>
      <w:r w:rsidRPr="00D219FA">
        <w:t>Asset sustainability ratio.</w:t>
      </w:r>
    </w:p>
    <w:p w14:paraId="50F0DA93" w14:textId="77777777" w:rsidR="00D219FA" w:rsidRDefault="00D219FA" w:rsidP="00D219FA"/>
    <w:p w14:paraId="3E675F45" w14:textId="240E3AC2" w:rsidR="00D219FA" w:rsidRPr="00D219FA" w:rsidRDefault="00D219FA" w:rsidP="00D219FA">
      <w:r w:rsidRPr="00D219FA">
        <w:t xml:space="preserve">There are acknowledged limitations to the use of asset-related ratios as indicators of financial sustainability: </w:t>
      </w:r>
    </w:p>
    <w:p w14:paraId="1EBEA539" w14:textId="77777777" w:rsidR="00D219FA" w:rsidRPr="00D219FA" w:rsidRDefault="00D219FA" w:rsidP="00D219FA">
      <w:pPr>
        <w:pStyle w:val="Listbullet"/>
      </w:pPr>
      <w:r w:rsidRPr="00D219FA">
        <w:t xml:space="preserve">Timing issue - depreciation expense (which is used as a proxy for required capital renewal expenditure) is relatively constant from year to year, while in any given year actual capital expenditure on asset renewal may differ materially. </w:t>
      </w:r>
    </w:p>
    <w:p w14:paraId="12D5364E" w14:textId="77777777" w:rsidR="00D219FA" w:rsidRPr="00D219FA" w:rsidRDefault="00D219FA" w:rsidP="00D219FA">
      <w:pPr>
        <w:pStyle w:val="Listbullet"/>
      </w:pPr>
      <w:r w:rsidRPr="00D219FA">
        <w:t xml:space="preserve">Calculation issue – the capital expenditure components of asset ratios do not </w:t>
      </w:r>
      <w:proofErr w:type="gramStart"/>
      <w:r w:rsidRPr="00D219FA">
        <w:t>take into account</w:t>
      </w:r>
      <w:proofErr w:type="gramEnd"/>
      <w:r w:rsidRPr="00D219FA">
        <w:t xml:space="preserve"> funds earmarked by LGs as reserves which may build up over time and eventually be used to fund asset renewal activity, since such funds are typically held as unrestricted funds by an LG and accordingly cannot be readily identified from LG financial statements for ratio calculation purposes. </w:t>
      </w:r>
    </w:p>
    <w:p w14:paraId="18910376" w14:textId="77777777" w:rsidR="00D219FA" w:rsidRPr="00D219FA" w:rsidRDefault="00D219FA" w:rsidP="00D219FA">
      <w:r w:rsidRPr="00D219FA">
        <w:t xml:space="preserve">The consequence of the above limitations is that an LG’s asset ratios can materially fluctuate from year to year based on point-in-time activity (with associated impact on FHI scores) and thus only have relevance when viewed over an extended </w:t>
      </w:r>
      <w:proofErr w:type="gramStart"/>
      <w:r w:rsidRPr="00D219FA">
        <w:t>time period</w:t>
      </w:r>
      <w:proofErr w:type="gramEnd"/>
      <w:r w:rsidRPr="00D219FA">
        <w:t>.</w:t>
      </w:r>
    </w:p>
    <w:p w14:paraId="0E3E9764" w14:textId="77777777" w:rsidR="00D219FA" w:rsidRPr="00D219FA" w:rsidRDefault="00D219FA" w:rsidP="00D219FA">
      <w:r w:rsidRPr="00D219FA">
        <w:t xml:space="preserve">Given the decision to remove any measure of asset sustainability – a core tenant of financial health – from the LGFI, the Steering Committee acknowledged that the LGFI cannot be deemed to provide a comprehensive insight to the financial health of a local government. </w:t>
      </w:r>
    </w:p>
    <w:p w14:paraId="1242A2C9" w14:textId="77777777" w:rsidR="00D219FA" w:rsidRPr="00D219FA" w:rsidRDefault="00D219FA" w:rsidP="00D219FA">
      <w:r w:rsidRPr="00D219FA">
        <w:t>Accordingly, WATC and the Steering Committee recommend excluding the term “Health” from the new indicator. The new name, “Local Government Financial Indicator” (</w:t>
      </w:r>
      <w:r w:rsidRPr="00D219FA">
        <w:rPr>
          <w:b/>
          <w:bCs/>
        </w:rPr>
        <w:t>LGFI</w:t>
      </w:r>
      <w:r w:rsidRPr="00D219FA">
        <w:t xml:space="preserve">) better reflects the fact that the new resulting indicator collectively provides an historic insight to the relative performance of an LG across the four financial reporting metrics which a representative group of LG financial professionals have deemed to be core indicators of LG financial performance. </w:t>
      </w:r>
    </w:p>
    <w:p w14:paraId="216BA920" w14:textId="77777777" w:rsidR="00D219FA" w:rsidRDefault="00D219FA" w:rsidP="00D219FA">
      <w:pPr>
        <w:spacing w:line="300" w:lineRule="auto"/>
        <w:rPr>
          <w:rFonts w:cs="Arial"/>
        </w:rPr>
      </w:pPr>
    </w:p>
    <w:p w14:paraId="3A43FBA1" w14:textId="77777777" w:rsidR="00D219FA" w:rsidRDefault="00D219FA" w:rsidP="00D219FA">
      <w:pPr>
        <w:spacing w:line="300" w:lineRule="auto"/>
        <w:rPr>
          <w:rFonts w:cs="Arial"/>
        </w:rPr>
      </w:pPr>
      <w:r>
        <w:rPr>
          <w:rFonts w:cs="Arial"/>
        </w:rPr>
        <w:t xml:space="preserve"> </w:t>
      </w:r>
    </w:p>
    <w:p w14:paraId="5D192282" w14:textId="77777777" w:rsidR="00D219FA" w:rsidRDefault="00D219FA" w:rsidP="00D219FA">
      <w:pPr>
        <w:spacing w:line="300" w:lineRule="auto"/>
        <w:rPr>
          <w:rFonts w:cs="Arial"/>
        </w:rPr>
      </w:pPr>
    </w:p>
    <w:p w14:paraId="284DB8F5" w14:textId="77777777" w:rsidR="00D219FA" w:rsidRDefault="00D219FA" w:rsidP="00D219FA">
      <w:pPr>
        <w:spacing w:line="300" w:lineRule="auto"/>
        <w:rPr>
          <w:rFonts w:cs="Arial"/>
        </w:rPr>
      </w:pPr>
    </w:p>
    <w:p w14:paraId="42FE18C9" w14:textId="77777777" w:rsidR="00D219FA" w:rsidRDefault="00D219FA" w:rsidP="00D219FA">
      <w:pPr>
        <w:spacing w:line="300" w:lineRule="auto"/>
        <w:rPr>
          <w:rFonts w:cs="Arial"/>
        </w:rPr>
        <w:sectPr w:rsidR="00D219FA" w:rsidSect="00D219FA">
          <w:pgSz w:w="11906" w:h="16838"/>
          <w:pgMar w:top="1440" w:right="1440" w:bottom="1440" w:left="1440" w:header="708" w:footer="708" w:gutter="0"/>
          <w:cols w:space="708"/>
          <w:docGrid w:linePitch="360"/>
        </w:sectPr>
      </w:pPr>
    </w:p>
    <w:p w14:paraId="241027CB" w14:textId="4566EE2E" w:rsidR="00D219FA" w:rsidRDefault="00D219FA" w:rsidP="00D219FA">
      <w:pPr>
        <w:pStyle w:val="Heading2"/>
      </w:pPr>
      <w:bookmarkStart w:id="27" w:name="_Toc188437772"/>
      <w:bookmarkStart w:id="28" w:name="_Toc192499400"/>
      <w:r>
        <w:lastRenderedPageBreak/>
        <w:t xml:space="preserve">Appendix 2: Basis for calculation of LGFI </w:t>
      </w:r>
      <w:r w:rsidR="0004025A">
        <w:t>r</w:t>
      </w:r>
      <w:r>
        <w:t>atios</w:t>
      </w:r>
      <w:bookmarkEnd w:id="27"/>
      <w:bookmarkEnd w:id="28"/>
    </w:p>
    <w:tbl>
      <w:tblPr>
        <w:tblStyle w:val="TableGrid"/>
        <w:tblW w:w="16438" w:type="dxa"/>
        <w:jc w:val="center"/>
        <w:tblLook w:val="04A0" w:firstRow="1" w:lastRow="0" w:firstColumn="1" w:lastColumn="0" w:noHBand="0" w:noVBand="1"/>
      </w:tblPr>
      <w:tblGrid>
        <w:gridCol w:w="452"/>
        <w:gridCol w:w="1675"/>
        <w:gridCol w:w="1554"/>
        <w:gridCol w:w="1984"/>
        <w:gridCol w:w="10773"/>
      </w:tblGrid>
      <w:tr w:rsidR="00D219FA" w:rsidRPr="003E3FC4" w14:paraId="4E6BB36E" w14:textId="77777777" w:rsidTr="002B0F76">
        <w:trPr>
          <w:trHeight w:val="557"/>
          <w:jc w:val="center"/>
        </w:trPr>
        <w:tc>
          <w:tcPr>
            <w:tcW w:w="452" w:type="dxa"/>
            <w:shd w:val="clear" w:color="auto" w:fill="0070C0"/>
          </w:tcPr>
          <w:p w14:paraId="1AD349B3" w14:textId="77777777" w:rsidR="00D219FA" w:rsidRPr="004D0A15" w:rsidRDefault="00D219FA" w:rsidP="002B0F76">
            <w:pPr>
              <w:jc w:val="center"/>
              <w:rPr>
                <w:rFonts w:cs="Arial"/>
                <w:b/>
                <w:bCs/>
                <w:color w:val="FFFFFF" w:themeColor="background1"/>
                <w:sz w:val="21"/>
                <w:szCs w:val="21"/>
              </w:rPr>
            </w:pPr>
            <w:r w:rsidRPr="004D0A15">
              <w:rPr>
                <w:rFonts w:cs="Arial"/>
                <w:b/>
                <w:bCs/>
                <w:color w:val="FFFFFF" w:themeColor="background1"/>
                <w:sz w:val="21"/>
                <w:szCs w:val="21"/>
              </w:rPr>
              <w:t>#</w:t>
            </w:r>
          </w:p>
        </w:tc>
        <w:tc>
          <w:tcPr>
            <w:tcW w:w="1675" w:type="dxa"/>
            <w:shd w:val="clear" w:color="auto" w:fill="0070C0"/>
          </w:tcPr>
          <w:p w14:paraId="36BF1F49" w14:textId="77777777" w:rsidR="00D219FA" w:rsidRPr="004D0A15" w:rsidRDefault="00D219FA" w:rsidP="002B0F76">
            <w:pPr>
              <w:jc w:val="center"/>
              <w:rPr>
                <w:rFonts w:cs="Arial"/>
                <w:b/>
                <w:bCs/>
                <w:color w:val="FFFFFF" w:themeColor="background1"/>
                <w:sz w:val="21"/>
                <w:szCs w:val="21"/>
              </w:rPr>
            </w:pPr>
            <w:r w:rsidRPr="004D0A15">
              <w:rPr>
                <w:rFonts w:cs="Arial"/>
                <w:b/>
                <w:bCs/>
                <w:color w:val="FFFFFF" w:themeColor="background1"/>
                <w:sz w:val="21"/>
                <w:szCs w:val="21"/>
              </w:rPr>
              <w:t>Ratio Name</w:t>
            </w:r>
          </w:p>
        </w:tc>
        <w:tc>
          <w:tcPr>
            <w:tcW w:w="1554" w:type="dxa"/>
            <w:shd w:val="clear" w:color="auto" w:fill="0070C0"/>
          </w:tcPr>
          <w:p w14:paraId="5D200364" w14:textId="77777777" w:rsidR="00D219FA" w:rsidRPr="004D0A15" w:rsidRDefault="00D219FA" w:rsidP="002B0F76">
            <w:pPr>
              <w:jc w:val="center"/>
              <w:rPr>
                <w:rFonts w:cs="Arial"/>
                <w:b/>
                <w:bCs/>
                <w:color w:val="FFFFFF" w:themeColor="background1"/>
                <w:sz w:val="21"/>
                <w:szCs w:val="21"/>
              </w:rPr>
            </w:pPr>
            <w:r w:rsidRPr="004D0A15">
              <w:rPr>
                <w:rFonts w:cs="Arial"/>
                <w:b/>
                <w:bCs/>
                <w:color w:val="FFFFFF" w:themeColor="background1"/>
                <w:sz w:val="21"/>
                <w:szCs w:val="21"/>
              </w:rPr>
              <w:t>Numerator/</w:t>
            </w:r>
            <w:r w:rsidRPr="004D0A15">
              <w:rPr>
                <w:rFonts w:cs="Arial"/>
                <w:b/>
                <w:bCs/>
                <w:color w:val="FFFFFF" w:themeColor="background1"/>
                <w:sz w:val="21"/>
                <w:szCs w:val="21"/>
              </w:rPr>
              <w:br/>
              <w:t>Denominator</w:t>
            </w:r>
          </w:p>
        </w:tc>
        <w:tc>
          <w:tcPr>
            <w:tcW w:w="1984" w:type="dxa"/>
            <w:shd w:val="clear" w:color="auto" w:fill="0070C0"/>
          </w:tcPr>
          <w:p w14:paraId="302F054C" w14:textId="77777777" w:rsidR="00D219FA" w:rsidRPr="004D0A15" w:rsidRDefault="00D219FA" w:rsidP="002B0F76">
            <w:pPr>
              <w:jc w:val="center"/>
              <w:rPr>
                <w:rFonts w:cs="Arial"/>
                <w:b/>
                <w:bCs/>
                <w:color w:val="FFFFFF" w:themeColor="background1"/>
                <w:sz w:val="21"/>
                <w:szCs w:val="21"/>
              </w:rPr>
            </w:pPr>
            <w:r w:rsidRPr="004D0A15">
              <w:rPr>
                <w:rFonts w:cs="Arial"/>
                <w:b/>
                <w:bCs/>
                <w:color w:val="FFFFFF" w:themeColor="background1"/>
                <w:sz w:val="21"/>
                <w:szCs w:val="21"/>
              </w:rPr>
              <w:t>Formula</w:t>
            </w:r>
            <w:r>
              <w:rPr>
                <w:rFonts w:cs="Arial"/>
                <w:b/>
                <w:bCs/>
                <w:color w:val="FFFFFF" w:themeColor="background1"/>
                <w:sz w:val="21"/>
                <w:szCs w:val="21"/>
              </w:rPr>
              <w:t xml:space="preserve"> Elements</w:t>
            </w:r>
          </w:p>
        </w:tc>
        <w:tc>
          <w:tcPr>
            <w:tcW w:w="10773" w:type="dxa"/>
            <w:shd w:val="clear" w:color="auto" w:fill="0070C0"/>
          </w:tcPr>
          <w:p w14:paraId="16EAF2A7" w14:textId="77777777" w:rsidR="00D219FA" w:rsidRPr="004D0A15" w:rsidRDefault="00D219FA" w:rsidP="002B0F76">
            <w:pPr>
              <w:jc w:val="center"/>
              <w:rPr>
                <w:rFonts w:cs="Arial"/>
                <w:b/>
                <w:bCs/>
                <w:color w:val="FFFFFF" w:themeColor="background1"/>
                <w:sz w:val="21"/>
                <w:szCs w:val="21"/>
              </w:rPr>
            </w:pPr>
            <w:r w:rsidRPr="004D0A15">
              <w:rPr>
                <w:rFonts w:cs="Arial"/>
                <w:b/>
                <w:bCs/>
                <w:color w:val="FFFFFF" w:themeColor="background1"/>
                <w:sz w:val="21"/>
                <w:szCs w:val="21"/>
              </w:rPr>
              <w:t>Basis for calculation</w:t>
            </w:r>
          </w:p>
        </w:tc>
      </w:tr>
      <w:tr w:rsidR="00D219FA" w:rsidRPr="003E3FC4" w14:paraId="21763F5F" w14:textId="77777777" w:rsidTr="002B0F76">
        <w:trPr>
          <w:jc w:val="center"/>
        </w:trPr>
        <w:tc>
          <w:tcPr>
            <w:tcW w:w="452" w:type="dxa"/>
            <w:vMerge w:val="restart"/>
            <w:shd w:val="clear" w:color="auto" w:fill="3A3A3A" w:themeFill="background2" w:themeFillShade="40"/>
          </w:tcPr>
          <w:p w14:paraId="14CF56BC" w14:textId="77777777" w:rsidR="00D219FA" w:rsidRPr="003E3FC4" w:rsidRDefault="00D219FA" w:rsidP="002B0F76">
            <w:pPr>
              <w:rPr>
                <w:rFonts w:cs="Arial"/>
                <w:b/>
                <w:bCs/>
                <w:sz w:val="21"/>
                <w:szCs w:val="21"/>
              </w:rPr>
            </w:pPr>
            <w:r w:rsidRPr="003E3FC4">
              <w:rPr>
                <w:rFonts w:cs="Arial"/>
                <w:b/>
                <w:bCs/>
                <w:sz w:val="21"/>
                <w:szCs w:val="21"/>
              </w:rPr>
              <w:t>1</w:t>
            </w:r>
          </w:p>
        </w:tc>
        <w:tc>
          <w:tcPr>
            <w:tcW w:w="1675" w:type="dxa"/>
            <w:vMerge w:val="restart"/>
            <w:shd w:val="clear" w:color="auto" w:fill="3A3A3A" w:themeFill="background2" w:themeFillShade="40"/>
          </w:tcPr>
          <w:p w14:paraId="713F209E" w14:textId="77777777" w:rsidR="00D219FA" w:rsidRPr="003E3FC4" w:rsidRDefault="00D219FA" w:rsidP="002B0F76">
            <w:pPr>
              <w:rPr>
                <w:rFonts w:cs="Arial"/>
                <w:b/>
                <w:bCs/>
                <w:sz w:val="21"/>
                <w:szCs w:val="21"/>
              </w:rPr>
            </w:pPr>
            <w:r w:rsidRPr="003E3FC4">
              <w:rPr>
                <w:rFonts w:cs="Arial"/>
                <w:b/>
                <w:bCs/>
                <w:sz w:val="21"/>
                <w:szCs w:val="21"/>
              </w:rPr>
              <w:t>Current Ratio</w:t>
            </w:r>
          </w:p>
        </w:tc>
        <w:tc>
          <w:tcPr>
            <w:tcW w:w="1554" w:type="dxa"/>
          </w:tcPr>
          <w:p w14:paraId="1DD341B1" w14:textId="77777777" w:rsidR="00D219FA" w:rsidRPr="003E3FC4" w:rsidRDefault="00D219FA" w:rsidP="002B0F76">
            <w:pPr>
              <w:rPr>
                <w:rFonts w:cs="Arial"/>
                <w:sz w:val="21"/>
                <w:szCs w:val="21"/>
              </w:rPr>
            </w:pPr>
            <w:r w:rsidRPr="003E3FC4">
              <w:rPr>
                <w:rFonts w:cs="Arial"/>
                <w:sz w:val="21"/>
                <w:szCs w:val="21"/>
              </w:rPr>
              <w:t>Numerator</w:t>
            </w:r>
          </w:p>
        </w:tc>
        <w:tc>
          <w:tcPr>
            <w:tcW w:w="1984" w:type="dxa"/>
            <w:shd w:val="clear" w:color="auto" w:fill="D1D1D1" w:themeFill="background2" w:themeFillShade="E6"/>
          </w:tcPr>
          <w:p w14:paraId="4C8BD32E" w14:textId="77777777" w:rsidR="00D219FA" w:rsidRPr="003E3FC4" w:rsidRDefault="00D219FA" w:rsidP="002B0F76">
            <w:pPr>
              <w:rPr>
                <w:rFonts w:cs="Arial"/>
                <w:sz w:val="21"/>
                <w:szCs w:val="21"/>
              </w:rPr>
            </w:pPr>
            <w:r w:rsidRPr="003E3FC4">
              <w:rPr>
                <w:rFonts w:cs="Arial"/>
                <w:sz w:val="21"/>
                <w:szCs w:val="21"/>
              </w:rPr>
              <w:t>Current Assets</w:t>
            </w:r>
          </w:p>
        </w:tc>
        <w:tc>
          <w:tcPr>
            <w:tcW w:w="10773" w:type="dxa"/>
          </w:tcPr>
          <w:p w14:paraId="2B31682D" w14:textId="77777777" w:rsidR="00D219FA" w:rsidRPr="003E3FC4" w:rsidRDefault="00D219FA" w:rsidP="002B0F76">
            <w:pPr>
              <w:spacing w:line="276" w:lineRule="auto"/>
              <w:jc w:val="center"/>
              <w:rPr>
                <w:rFonts w:cs="Arial"/>
                <w:b/>
                <w:bCs/>
                <w:sz w:val="21"/>
                <w:szCs w:val="21"/>
              </w:rPr>
            </w:pPr>
            <w:r w:rsidRPr="003E3FC4">
              <w:rPr>
                <w:sz w:val="21"/>
                <w:szCs w:val="21"/>
              </w:rPr>
              <w:t>Per Statement of Financial Position (SoFP)</w:t>
            </w:r>
          </w:p>
        </w:tc>
      </w:tr>
      <w:tr w:rsidR="00D219FA" w:rsidRPr="003E3FC4" w14:paraId="41F8A948" w14:textId="77777777" w:rsidTr="002B0F76">
        <w:trPr>
          <w:jc w:val="center"/>
        </w:trPr>
        <w:tc>
          <w:tcPr>
            <w:tcW w:w="452" w:type="dxa"/>
            <w:vMerge/>
            <w:shd w:val="clear" w:color="auto" w:fill="3A3A3A" w:themeFill="background2" w:themeFillShade="40"/>
          </w:tcPr>
          <w:p w14:paraId="5069DBC1" w14:textId="77777777" w:rsidR="00D219FA" w:rsidRPr="003E3FC4" w:rsidRDefault="00D219FA" w:rsidP="002B0F76">
            <w:pPr>
              <w:rPr>
                <w:rFonts w:cs="Arial"/>
                <w:b/>
                <w:bCs/>
                <w:sz w:val="21"/>
                <w:szCs w:val="21"/>
              </w:rPr>
            </w:pPr>
          </w:p>
        </w:tc>
        <w:tc>
          <w:tcPr>
            <w:tcW w:w="1675" w:type="dxa"/>
            <w:vMerge/>
            <w:shd w:val="clear" w:color="auto" w:fill="3A3A3A" w:themeFill="background2" w:themeFillShade="40"/>
          </w:tcPr>
          <w:p w14:paraId="08205674" w14:textId="77777777" w:rsidR="00D219FA" w:rsidRPr="003E3FC4" w:rsidRDefault="00D219FA" w:rsidP="002B0F76">
            <w:pPr>
              <w:rPr>
                <w:rFonts w:cs="Arial"/>
                <w:b/>
                <w:bCs/>
                <w:sz w:val="21"/>
                <w:szCs w:val="21"/>
              </w:rPr>
            </w:pPr>
          </w:p>
        </w:tc>
        <w:tc>
          <w:tcPr>
            <w:tcW w:w="1554" w:type="dxa"/>
          </w:tcPr>
          <w:p w14:paraId="5BA163B9" w14:textId="77777777" w:rsidR="00D219FA" w:rsidRPr="003E3FC4" w:rsidRDefault="00D219FA" w:rsidP="002B0F76">
            <w:pPr>
              <w:rPr>
                <w:rFonts w:cs="Arial"/>
                <w:sz w:val="21"/>
                <w:szCs w:val="21"/>
              </w:rPr>
            </w:pPr>
            <w:r w:rsidRPr="003E3FC4">
              <w:rPr>
                <w:rFonts w:cs="Arial"/>
                <w:sz w:val="21"/>
                <w:szCs w:val="21"/>
              </w:rPr>
              <w:t>Denominator</w:t>
            </w:r>
          </w:p>
        </w:tc>
        <w:tc>
          <w:tcPr>
            <w:tcW w:w="1984" w:type="dxa"/>
            <w:shd w:val="clear" w:color="auto" w:fill="747474" w:themeFill="background2" w:themeFillShade="80"/>
          </w:tcPr>
          <w:p w14:paraId="597BAA44" w14:textId="77777777" w:rsidR="00D219FA" w:rsidRPr="003E3FC4" w:rsidRDefault="00D219FA" w:rsidP="002B0F76">
            <w:pPr>
              <w:rPr>
                <w:rFonts w:cs="Arial"/>
                <w:sz w:val="21"/>
                <w:szCs w:val="21"/>
              </w:rPr>
            </w:pPr>
            <w:r w:rsidRPr="003E3FC4">
              <w:rPr>
                <w:rFonts w:cs="Arial"/>
                <w:sz w:val="21"/>
                <w:szCs w:val="21"/>
              </w:rPr>
              <w:t>Current Liabilities</w:t>
            </w:r>
          </w:p>
        </w:tc>
        <w:tc>
          <w:tcPr>
            <w:tcW w:w="10773" w:type="dxa"/>
          </w:tcPr>
          <w:p w14:paraId="783FC86B" w14:textId="77777777" w:rsidR="00D219FA" w:rsidRPr="003E3FC4" w:rsidRDefault="00D219FA" w:rsidP="002B0F76">
            <w:pPr>
              <w:spacing w:line="276" w:lineRule="auto"/>
              <w:jc w:val="center"/>
              <w:rPr>
                <w:rFonts w:cs="Arial"/>
                <w:b/>
                <w:bCs/>
                <w:sz w:val="21"/>
                <w:szCs w:val="21"/>
              </w:rPr>
            </w:pPr>
            <w:r w:rsidRPr="003E3FC4">
              <w:rPr>
                <w:sz w:val="21"/>
                <w:szCs w:val="21"/>
              </w:rPr>
              <w:t>Per Statement of Financial Position (SoFP)</w:t>
            </w:r>
          </w:p>
        </w:tc>
      </w:tr>
      <w:tr w:rsidR="00D219FA" w:rsidRPr="003E3FC4" w14:paraId="1A34D882" w14:textId="77777777" w:rsidTr="002B0F76">
        <w:trPr>
          <w:jc w:val="center"/>
        </w:trPr>
        <w:tc>
          <w:tcPr>
            <w:tcW w:w="452" w:type="dxa"/>
            <w:vMerge w:val="restart"/>
            <w:shd w:val="clear" w:color="auto" w:fill="77206D" w:themeFill="accent5" w:themeFillShade="BF"/>
          </w:tcPr>
          <w:p w14:paraId="7B830518" w14:textId="77777777" w:rsidR="00D219FA" w:rsidRPr="003E3FC4" w:rsidRDefault="00D219FA" w:rsidP="002B0F76">
            <w:pPr>
              <w:rPr>
                <w:rFonts w:cs="Arial"/>
                <w:b/>
                <w:bCs/>
                <w:color w:val="FFFFFF" w:themeColor="background1"/>
                <w:sz w:val="21"/>
                <w:szCs w:val="21"/>
              </w:rPr>
            </w:pPr>
            <w:r w:rsidRPr="003E3FC4">
              <w:rPr>
                <w:rFonts w:cs="Arial"/>
                <w:b/>
                <w:bCs/>
                <w:color w:val="FFFFFF" w:themeColor="background1"/>
                <w:sz w:val="21"/>
                <w:szCs w:val="21"/>
              </w:rPr>
              <w:t>2</w:t>
            </w:r>
          </w:p>
        </w:tc>
        <w:tc>
          <w:tcPr>
            <w:tcW w:w="1675" w:type="dxa"/>
            <w:vMerge w:val="restart"/>
            <w:shd w:val="clear" w:color="auto" w:fill="77206D" w:themeFill="accent5" w:themeFillShade="BF"/>
          </w:tcPr>
          <w:p w14:paraId="6C677708" w14:textId="77777777" w:rsidR="00D219FA" w:rsidRPr="003E3FC4" w:rsidRDefault="00D219FA" w:rsidP="002B0F76">
            <w:pPr>
              <w:rPr>
                <w:rFonts w:cs="Arial"/>
                <w:b/>
                <w:bCs/>
                <w:color w:val="FFFFFF" w:themeColor="background1"/>
                <w:sz w:val="21"/>
                <w:szCs w:val="21"/>
              </w:rPr>
            </w:pPr>
            <w:r w:rsidRPr="003E3FC4">
              <w:rPr>
                <w:rFonts w:cs="Arial"/>
                <w:b/>
                <w:bCs/>
                <w:color w:val="FFFFFF" w:themeColor="background1"/>
                <w:sz w:val="21"/>
                <w:szCs w:val="21"/>
              </w:rPr>
              <w:t>Debt Service Coverage Ratio</w:t>
            </w:r>
          </w:p>
        </w:tc>
        <w:tc>
          <w:tcPr>
            <w:tcW w:w="1554" w:type="dxa"/>
          </w:tcPr>
          <w:p w14:paraId="584E5DEC" w14:textId="77777777" w:rsidR="00D219FA" w:rsidRPr="003E3FC4" w:rsidRDefault="00D219FA" w:rsidP="002B0F76">
            <w:pPr>
              <w:rPr>
                <w:rFonts w:cs="Arial"/>
                <w:sz w:val="21"/>
                <w:szCs w:val="21"/>
              </w:rPr>
            </w:pPr>
            <w:r w:rsidRPr="003E3FC4">
              <w:rPr>
                <w:rFonts w:cs="Arial"/>
                <w:sz w:val="21"/>
                <w:szCs w:val="21"/>
              </w:rPr>
              <w:t>Numerator</w:t>
            </w:r>
          </w:p>
        </w:tc>
        <w:tc>
          <w:tcPr>
            <w:tcW w:w="1984" w:type="dxa"/>
            <w:shd w:val="clear" w:color="auto" w:fill="F2CEED" w:themeFill="accent5" w:themeFillTint="33"/>
          </w:tcPr>
          <w:p w14:paraId="517615DA" w14:textId="77777777" w:rsidR="00D219FA" w:rsidRPr="003E3FC4" w:rsidRDefault="00D219FA" w:rsidP="002B0F76">
            <w:pPr>
              <w:rPr>
                <w:rFonts w:cs="Arial"/>
                <w:sz w:val="21"/>
                <w:szCs w:val="21"/>
              </w:rPr>
            </w:pPr>
            <w:r w:rsidRPr="003E3FC4">
              <w:rPr>
                <w:sz w:val="21"/>
                <w:szCs w:val="21"/>
              </w:rPr>
              <w:t>Adjusted Operating Surplus w/exclusions</w:t>
            </w:r>
          </w:p>
        </w:tc>
        <w:tc>
          <w:tcPr>
            <w:tcW w:w="10773" w:type="dxa"/>
          </w:tcPr>
          <w:p w14:paraId="3A313459" w14:textId="77777777" w:rsidR="00D219FA" w:rsidRPr="003E3FC4" w:rsidRDefault="00D219FA" w:rsidP="002B0F76">
            <w:pPr>
              <w:spacing w:line="276" w:lineRule="auto"/>
              <w:jc w:val="center"/>
              <w:rPr>
                <w:sz w:val="21"/>
                <w:szCs w:val="21"/>
              </w:rPr>
            </w:pPr>
            <w:r w:rsidRPr="003E3FC4">
              <w:rPr>
                <w:sz w:val="21"/>
                <w:szCs w:val="21"/>
              </w:rPr>
              <w:t>[</w:t>
            </w:r>
            <w:r w:rsidRPr="003E3FC4">
              <w:rPr>
                <w:color w:val="0070C0"/>
                <w:sz w:val="21"/>
                <w:szCs w:val="21"/>
              </w:rPr>
              <w:t>Adjusted Operating Revenue (1)</w:t>
            </w:r>
            <w:r w:rsidRPr="003E3FC4">
              <w:rPr>
                <w:sz w:val="21"/>
                <w:szCs w:val="21"/>
              </w:rPr>
              <w:t xml:space="preserve"> = Operating Revenues plus Federal Assistance Grants adjustment (see below)]</w:t>
            </w:r>
          </w:p>
          <w:p w14:paraId="0CB2003E" w14:textId="77777777" w:rsidR="00D219FA" w:rsidRPr="003E3FC4" w:rsidRDefault="00D219FA" w:rsidP="002B0F76">
            <w:pPr>
              <w:spacing w:line="276" w:lineRule="auto"/>
              <w:jc w:val="center"/>
              <w:rPr>
                <w:b/>
                <w:bCs/>
                <w:color w:val="FF0000"/>
                <w:sz w:val="21"/>
                <w:szCs w:val="21"/>
              </w:rPr>
            </w:pPr>
            <w:r w:rsidRPr="003E3FC4">
              <w:rPr>
                <w:b/>
                <w:bCs/>
                <w:color w:val="FF0000"/>
                <w:sz w:val="21"/>
                <w:szCs w:val="21"/>
              </w:rPr>
              <w:t>Less</w:t>
            </w:r>
          </w:p>
          <w:p w14:paraId="23C0100F" w14:textId="77777777" w:rsidR="00D219FA" w:rsidRPr="003E3FC4" w:rsidRDefault="00D219FA" w:rsidP="002B0F76">
            <w:pPr>
              <w:spacing w:line="276" w:lineRule="auto"/>
              <w:jc w:val="center"/>
              <w:rPr>
                <w:rFonts w:cs="Arial"/>
                <w:b/>
                <w:bCs/>
                <w:sz w:val="21"/>
                <w:szCs w:val="21"/>
              </w:rPr>
            </w:pPr>
            <w:r w:rsidRPr="003E3FC4">
              <w:rPr>
                <w:sz w:val="21"/>
                <w:szCs w:val="21"/>
              </w:rPr>
              <w:t>[</w:t>
            </w:r>
            <w:r w:rsidRPr="003E3FC4">
              <w:rPr>
                <w:color w:val="0070C0"/>
                <w:sz w:val="21"/>
                <w:szCs w:val="21"/>
              </w:rPr>
              <w:t xml:space="preserve">Adjusted Operating Expenses </w:t>
            </w:r>
            <w:r w:rsidRPr="003E3FC4">
              <w:rPr>
                <w:sz w:val="21"/>
                <w:szCs w:val="21"/>
              </w:rPr>
              <w:t>= Operating Expenses less (</w:t>
            </w:r>
            <w:proofErr w:type="spellStart"/>
            <w:r w:rsidRPr="003E3FC4">
              <w:rPr>
                <w:sz w:val="21"/>
                <w:szCs w:val="21"/>
              </w:rPr>
              <w:t>i</w:t>
            </w:r>
            <w:proofErr w:type="spellEnd"/>
            <w:r w:rsidRPr="003E3FC4">
              <w:rPr>
                <w:sz w:val="21"/>
                <w:szCs w:val="21"/>
              </w:rPr>
              <w:t>) Depreciation Expense (ii) Interest Expense]</w:t>
            </w:r>
          </w:p>
        </w:tc>
      </w:tr>
      <w:tr w:rsidR="00D219FA" w:rsidRPr="003E3FC4" w14:paraId="236687F8" w14:textId="77777777" w:rsidTr="002B0F76">
        <w:trPr>
          <w:jc w:val="center"/>
        </w:trPr>
        <w:tc>
          <w:tcPr>
            <w:tcW w:w="452" w:type="dxa"/>
            <w:vMerge/>
            <w:shd w:val="clear" w:color="auto" w:fill="77206D" w:themeFill="accent5" w:themeFillShade="BF"/>
          </w:tcPr>
          <w:p w14:paraId="7862AA85" w14:textId="77777777" w:rsidR="00D219FA" w:rsidRPr="003E3FC4" w:rsidRDefault="00D219FA" w:rsidP="002B0F76">
            <w:pPr>
              <w:rPr>
                <w:rFonts w:cs="Arial"/>
                <w:b/>
                <w:bCs/>
                <w:color w:val="FFFFFF" w:themeColor="background1"/>
                <w:sz w:val="21"/>
                <w:szCs w:val="21"/>
              </w:rPr>
            </w:pPr>
          </w:p>
        </w:tc>
        <w:tc>
          <w:tcPr>
            <w:tcW w:w="1675" w:type="dxa"/>
            <w:vMerge/>
            <w:shd w:val="clear" w:color="auto" w:fill="77206D" w:themeFill="accent5" w:themeFillShade="BF"/>
          </w:tcPr>
          <w:p w14:paraId="7C34B277" w14:textId="77777777" w:rsidR="00D219FA" w:rsidRPr="003E3FC4" w:rsidRDefault="00D219FA" w:rsidP="002B0F76">
            <w:pPr>
              <w:rPr>
                <w:rFonts w:cs="Arial"/>
                <w:b/>
                <w:bCs/>
                <w:color w:val="FFFFFF" w:themeColor="background1"/>
                <w:sz w:val="21"/>
                <w:szCs w:val="21"/>
              </w:rPr>
            </w:pPr>
          </w:p>
        </w:tc>
        <w:tc>
          <w:tcPr>
            <w:tcW w:w="1554" w:type="dxa"/>
          </w:tcPr>
          <w:p w14:paraId="0CAF6CB4" w14:textId="77777777" w:rsidR="00D219FA" w:rsidRPr="003E3FC4" w:rsidRDefault="00D219FA" w:rsidP="002B0F76">
            <w:pPr>
              <w:rPr>
                <w:rFonts w:cs="Arial"/>
                <w:sz w:val="21"/>
                <w:szCs w:val="21"/>
              </w:rPr>
            </w:pPr>
            <w:r w:rsidRPr="003E3FC4">
              <w:rPr>
                <w:rFonts w:cs="Arial"/>
                <w:sz w:val="21"/>
                <w:szCs w:val="21"/>
              </w:rPr>
              <w:t>Denominator</w:t>
            </w:r>
          </w:p>
        </w:tc>
        <w:tc>
          <w:tcPr>
            <w:tcW w:w="1984" w:type="dxa"/>
            <w:shd w:val="clear" w:color="auto" w:fill="D86DCB" w:themeFill="accent5" w:themeFillTint="99"/>
          </w:tcPr>
          <w:p w14:paraId="40E9F767" w14:textId="77777777" w:rsidR="00D219FA" w:rsidRPr="003E3FC4" w:rsidRDefault="00D219FA" w:rsidP="002B0F76">
            <w:pPr>
              <w:rPr>
                <w:rFonts w:cs="Arial"/>
                <w:sz w:val="21"/>
                <w:szCs w:val="21"/>
              </w:rPr>
            </w:pPr>
            <w:r w:rsidRPr="003E3FC4">
              <w:rPr>
                <w:sz w:val="21"/>
                <w:szCs w:val="21"/>
              </w:rPr>
              <w:t xml:space="preserve">Debt Service Costs </w:t>
            </w:r>
          </w:p>
        </w:tc>
        <w:tc>
          <w:tcPr>
            <w:tcW w:w="10773" w:type="dxa"/>
          </w:tcPr>
          <w:p w14:paraId="6AC5053B" w14:textId="77777777" w:rsidR="00D219FA" w:rsidRPr="003E3FC4" w:rsidRDefault="00D219FA" w:rsidP="002B0F76">
            <w:pPr>
              <w:spacing w:line="276" w:lineRule="auto"/>
              <w:jc w:val="center"/>
              <w:rPr>
                <w:rFonts w:cs="Arial"/>
                <w:b/>
                <w:bCs/>
                <w:sz w:val="21"/>
                <w:szCs w:val="21"/>
              </w:rPr>
            </w:pPr>
            <w:r w:rsidRPr="003E3FC4">
              <w:rPr>
                <w:sz w:val="21"/>
                <w:szCs w:val="21"/>
              </w:rPr>
              <w:t>[</w:t>
            </w:r>
            <w:r w:rsidRPr="003E3FC4">
              <w:rPr>
                <w:color w:val="0070C0"/>
                <w:sz w:val="21"/>
                <w:szCs w:val="21"/>
              </w:rPr>
              <w:t xml:space="preserve">Debt Service Costs </w:t>
            </w:r>
            <w:r w:rsidRPr="003E3FC4">
              <w:rPr>
                <w:sz w:val="21"/>
                <w:szCs w:val="21"/>
              </w:rPr>
              <w:t>= Includes principal repayments (excluding refinancing loans) and Interest, including lease interest and repayments]</w:t>
            </w:r>
          </w:p>
        </w:tc>
      </w:tr>
      <w:tr w:rsidR="00D219FA" w:rsidRPr="003E3FC4" w14:paraId="7A67A801" w14:textId="77777777" w:rsidTr="002B0F76">
        <w:trPr>
          <w:jc w:val="center"/>
        </w:trPr>
        <w:tc>
          <w:tcPr>
            <w:tcW w:w="452" w:type="dxa"/>
            <w:vMerge w:val="restart"/>
            <w:shd w:val="clear" w:color="auto" w:fill="0B769F" w:themeFill="accent4" w:themeFillShade="BF"/>
          </w:tcPr>
          <w:p w14:paraId="2F7AFF59" w14:textId="77777777" w:rsidR="00D219FA" w:rsidRPr="003E3FC4" w:rsidRDefault="00D219FA" w:rsidP="002B0F76">
            <w:pPr>
              <w:rPr>
                <w:rFonts w:cs="Arial"/>
                <w:b/>
                <w:bCs/>
                <w:color w:val="FFFFFF" w:themeColor="background1"/>
                <w:sz w:val="21"/>
                <w:szCs w:val="21"/>
              </w:rPr>
            </w:pPr>
            <w:r w:rsidRPr="003E3FC4">
              <w:rPr>
                <w:rFonts w:cs="Arial"/>
                <w:b/>
                <w:bCs/>
                <w:color w:val="FFFFFF" w:themeColor="background1"/>
                <w:sz w:val="21"/>
                <w:szCs w:val="21"/>
              </w:rPr>
              <w:t>3</w:t>
            </w:r>
          </w:p>
        </w:tc>
        <w:tc>
          <w:tcPr>
            <w:tcW w:w="1675" w:type="dxa"/>
            <w:vMerge w:val="restart"/>
            <w:shd w:val="clear" w:color="auto" w:fill="0B769F" w:themeFill="accent4" w:themeFillShade="BF"/>
          </w:tcPr>
          <w:p w14:paraId="1CA2D366" w14:textId="77777777" w:rsidR="00D219FA" w:rsidRPr="003E3FC4" w:rsidRDefault="00D219FA" w:rsidP="002B0F76">
            <w:pPr>
              <w:rPr>
                <w:rFonts w:cs="Arial"/>
                <w:b/>
                <w:bCs/>
                <w:color w:val="FFFFFF" w:themeColor="background1"/>
                <w:sz w:val="21"/>
                <w:szCs w:val="21"/>
              </w:rPr>
            </w:pPr>
            <w:r w:rsidRPr="003E3FC4">
              <w:rPr>
                <w:rFonts w:cs="Arial"/>
                <w:b/>
                <w:bCs/>
                <w:color w:val="FFFFFF" w:themeColor="background1"/>
                <w:sz w:val="21"/>
                <w:szCs w:val="21"/>
              </w:rPr>
              <w:t>Operating Surplus Ratio</w:t>
            </w:r>
          </w:p>
        </w:tc>
        <w:tc>
          <w:tcPr>
            <w:tcW w:w="1554" w:type="dxa"/>
          </w:tcPr>
          <w:p w14:paraId="2D94B045" w14:textId="77777777" w:rsidR="00D219FA" w:rsidRPr="003E3FC4" w:rsidRDefault="00D219FA" w:rsidP="002B0F76">
            <w:pPr>
              <w:rPr>
                <w:rFonts w:cs="Arial"/>
                <w:b/>
                <w:bCs/>
                <w:sz w:val="21"/>
                <w:szCs w:val="21"/>
              </w:rPr>
            </w:pPr>
            <w:r w:rsidRPr="003E3FC4">
              <w:rPr>
                <w:sz w:val="21"/>
                <w:szCs w:val="21"/>
              </w:rPr>
              <w:t>Numerator</w:t>
            </w:r>
          </w:p>
        </w:tc>
        <w:tc>
          <w:tcPr>
            <w:tcW w:w="1984" w:type="dxa"/>
            <w:shd w:val="clear" w:color="auto" w:fill="CAEDFB" w:themeFill="accent4" w:themeFillTint="33"/>
          </w:tcPr>
          <w:p w14:paraId="3C3B1418" w14:textId="77777777" w:rsidR="00D219FA" w:rsidRPr="003E3FC4" w:rsidRDefault="00D219FA" w:rsidP="002B0F76">
            <w:pPr>
              <w:rPr>
                <w:rFonts w:cs="Arial"/>
                <w:b/>
                <w:bCs/>
                <w:sz w:val="21"/>
                <w:szCs w:val="21"/>
              </w:rPr>
            </w:pPr>
            <w:r w:rsidRPr="003E3FC4">
              <w:rPr>
                <w:sz w:val="21"/>
                <w:szCs w:val="21"/>
              </w:rPr>
              <w:t>Adjusted Operating Surplus</w:t>
            </w:r>
          </w:p>
        </w:tc>
        <w:tc>
          <w:tcPr>
            <w:tcW w:w="10773" w:type="dxa"/>
          </w:tcPr>
          <w:p w14:paraId="417EAC11" w14:textId="77777777" w:rsidR="00D219FA" w:rsidRPr="003E3FC4" w:rsidRDefault="00D219FA" w:rsidP="002B0F76">
            <w:pPr>
              <w:spacing w:line="276" w:lineRule="auto"/>
              <w:jc w:val="center"/>
              <w:rPr>
                <w:rFonts w:cs="Arial"/>
                <w:sz w:val="21"/>
                <w:szCs w:val="21"/>
              </w:rPr>
            </w:pPr>
            <w:r w:rsidRPr="003E3FC4">
              <w:rPr>
                <w:rFonts w:cs="Arial"/>
                <w:sz w:val="21"/>
                <w:szCs w:val="21"/>
              </w:rPr>
              <w:t>[</w:t>
            </w:r>
            <w:r w:rsidRPr="003E3FC4">
              <w:rPr>
                <w:rFonts w:cs="Arial"/>
                <w:color w:val="0070C0"/>
                <w:sz w:val="21"/>
                <w:szCs w:val="21"/>
              </w:rPr>
              <w:t xml:space="preserve">Adjusted Operating Revenue (2) </w:t>
            </w:r>
            <w:r w:rsidRPr="003E3FC4">
              <w:rPr>
                <w:rFonts w:cs="Arial"/>
                <w:sz w:val="21"/>
                <w:szCs w:val="21"/>
              </w:rPr>
              <w:t>= Adjusted Operating Revenue (1) plus non-operating grants/contributions for asset renewal]</w:t>
            </w:r>
          </w:p>
          <w:p w14:paraId="339BEFBA" w14:textId="77777777" w:rsidR="00D219FA" w:rsidRPr="003E3FC4" w:rsidRDefault="00D219FA" w:rsidP="002B0F76">
            <w:pPr>
              <w:spacing w:line="276" w:lineRule="auto"/>
              <w:jc w:val="center"/>
              <w:rPr>
                <w:rFonts w:cs="Arial"/>
                <w:b/>
                <w:bCs/>
                <w:color w:val="FF0000"/>
                <w:sz w:val="21"/>
                <w:szCs w:val="21"/>
              </w:rPr>
            </w:pPr>
            <w:r w:rsidRPr="003E3FC4">
              <w:rPr>
                <w:rFonts w:cs="Arial"/>
                <w:b/>
                <w:bCs/>
                <w:color w:val="FF0000"/>
                <w:sz w:val="21"/>
                <w:szCs w:val="21"/>
              </w:rPr>
              <w:t>Less</w:t>
            </w:r>
          </w:p>
          <w:p w14:paraId="00488D76" w14:textId="77777777" w:rsidR="00D219FA" w:rsidRPr="003E3FC4" w:rsidRDefault="00D219FA" w:rsidP="002B0F76">
            <w:pPr>
              <w:spacing w:line="276" w:lineRule="auto"/>
              <w:jc w:val="center"/>
              <w:rPr>
                <w:rFonts w:cs="Arial"/>
                <w:sz w:val="21"/>
                <w:szCs w:val="21"/>
              </w:rPr>
            </w:pPr>
            <w:r w:rsidRPr="003E3FC4">
              <w:rPr>
                <w:rFonts w:cs="Arial"/>
                <w:sz w:val="21"/>
                <w:szCs w:val="21"/>
              </w:rPr>
              <w:t>[</w:t>
            </w:r>
            <w:r w:rsidRPr="003E3FC4">
              <w:rPr>
                <w:rFonts w:cs="Arial"/>
                <w:color w:val="0070C0"/>
                <w:sz w:val="21"/>
                <w:szCs w:val="21"/>
              </w:rPr>
              <w:t xml:space="preserve">Operating Expenses </w:t>
            </w:r>
            <w:r w:rsidRPr="003E3FC4">
              <w:rPr>
                <w:rFonts w:cs="Arial"/>
                <w:sz w:val="21"/>
                <w:szCs w:val="21"/>
              </w:rPr>
              <w:t>= Sum of (</w:t>
            </w:r>
            <w:proofErr w:type="spellStart"/>
            <w:r w:rsidRPr="003E3FC4">
              <w:rPr>
                <w:rFonts w:cs="Arial"/>
                <w:sz w:val="21"/>
                <w:szCs w:val="21"/>
              </w:rPr>
              <w:t>i</w:t>
            </w:r>
            <w:proofErr w:type="spellEnd"/>
            <w:r w:rsidRPr="003E3FC4">
              <w:rPr>
                <w:rFonts w:cs="Arial"/>
                <w:sz w:val="21"/>
                <w:szCs w:val="21"/>
              </w:rPr>
              <w:t>) employee costs, (ii) materials &amp; contracts, (iii) depreciation on non-current assets, (iv) insurance (v) utility charges (vi) interest expense (to be amended to finance costs) and (vii) other expenditure]</w:t>
            </w:r>
          </w:p>
        </w:tc>
      </w:tr>
      <w:tr w:rsidR="00D219FA" w:rsidRPr="003E3FC4" w14:paraId="263C8B52" w14:textId="77777777" w:rsidTr="002B0F76">
        <w:trPr>
          <w:jc w:val="center"/>
        </w:trPr>
        <w:tc>
          <w:tcPr>
            <w:tcW w:w="452" w:type="dxa"/>
            <w:vMerge/>
            <w:shd w:val="clear" w:color="auto" w:fill="0B769F" w:themeFill="accent4" w:themeFillShade="BF"/>
          </w:tcPr>
          <w:p w14:paraId="75A51AC8" w14:textId="77777777" w:rsidR="00D219FA" w:rsidRPr="003E3FC4" w:rsidRDefault="00D219FA" w:rsidP="002B0F76">
            <w:pPr>
              <w:rPr>
                <w:rFonts w:cs="Arial"/>
                <w:b/>
                <w:bCs/>
                <w:color w:val="FFFFFF" w:themeColor="background1"/>
                <w:sz w:val="21"/>
                <w:szCs w:val="21"/>
              </w:rPr>
            </w:pPr>
          </w:p>
        </w:tc>
        <w:tc>
          <w:tcPr>
            <w:tcW w:w="1675" w:type="dxa"/>
            <w:vMerge/>
            <w:shd w:val="clear" w:color="auto" w:fill="0B769F" w:themeFill="accent4" w:themeFillShade="BF"/>
          </w:tcPr>
          <w:p w14:paraId="5A0172F3" w14:textId="77777777" w:rsidR="00D219FA" w:rsidRPr="003E3FC4" w:rsidRDefault="00D219FA" w:rsidP="002B0F76">
            <w:pPr>
              <w:rPr>
                <w:rFonts w:cs="Arial"/>
                <w:b/>
                <w:bCs/>
                <w:color w:val="FFFFFF" w:themeColor="background1"/>
                <w:sz w:val="21"/>
                <w:szCs w:val="21"/>
              </w:rPr>
            </w:pPr>
          </w:p>
        </w:tc>
        <w:tc>
          <w:tcPr>
            <w:tcW w:w="1554" w:type="dxa"/>
          </w:tcPr>
          <w:p w14:paraId="04A3BDB5" w14:textId="77777777" w:rsidR="00D219FA" w:rsidRPr="003E3FC4" w:rsidRDefault="00D219FA" w:rsidP="002B0F76">
            <w:pPr>
              <w:rPr>
                <w:rFonts w:cs="Arial"/>
                <w:b/>
                <w:bCs/>
                <w:sz w:val="21"/>
                <w:szCs w:val="21"/>
              </w:rPr>
            </w:pPr>
            <w:r w:rsidRPr="003E3FC4">
              <w:rPr>
                <w:sz w:val="21"/>
                <w:szCs w:val="21"/>
              </w:rPr>
              <w:t>Denominator</w:t>
            </w:r>
          </w:p>
        </w:tc>
        <w:tc>
          <w:tcPr>
            <w:tcW w:w="1984" w:type="dxa"/>
            <w:shd w:val="clear" w:color="auto" w:fill="60CAF3" w:themeFill="accent4" w:themeFillTint="99"/>
          </w:tcPr>
          <w:p w14:paraId="18B16BAC" w14:textId="77777777" w:rsidR="00D219FA" w:rsidRPr="003E3FC4" w:rsidRDefault="00D219FA" w:rsidP="002B0F76">
            <w:pPr>
              <w:rPr>
                <w:rFonts w:cs="Arial"/>
                <w:b/>
                <w:bCs/>
                <w:sz w:val="21"/>
                <w:szCs w:val="21"/>
              </w:rPr>
            </w:pPr>
            <w:r w:rsidRPr="003E3FC4">
              <w:rPr>
                <w:sz w:val="21"/>
                <w:szCs w:val="21"/>
              </w:rPr>
              <w:t>Adjusted Operating Revenue (2)</w:t>
            </w:r>
          </w:p>
        </w:tc>
        <w:tc>
          <w:tcPr>
            <w:tcW w:w="10773" w:type="dxa"/>
          </w:tcPr>
          <w:p w14:paraId="697C71AF" w14:textId="77777777" w:rsidR="00D219FA" w:rsidRPr="003E3FC4" w:rsidRDefault="00D219FA" w:rsidP="002B0F76">
            <w:pPr>
              <w:spacing w:line="276" w:lineRule="auto"/>
              <w:jc w:val="center"/>
              <w:rPr>
                <w:rFonts w:cs="Arial"/>
                <w:color w:val="0070C0"/>
                <w:sz w:val="21"/>
                <w:szCs w:val="21"/>
              </w:rPr>
            </w:pPr>
            <w:r w:rsidRPr="003E3FC4">
              <w:rPr>
                <w:rFonts w:cs="Arial"/>
                <w:color w:val="0070C0"/>
                <w:sz w:val="21"/>
                <w:szCs w:val="21"/>
              </w:rPr>
              <w:t>Adjusted Operating Revenues (1) (see above)</w:t>
            </w:r>
          </w:p>
          <w:p w14:paraId="66223C5C" w14:textId="77777777" w:rsidR="00D219FA" w:rsidRPr="003E3FC4" w:rsidRDefault="00D219FA" w:rsidP="002B0F76">
            <w:pPr>
              <w:spacing w:line="276" w:lineRule="auto"/>
              <w:jc w:val="center"/>
              <w:rPr>
                <w:rFonts w:cs="Arial"/>
                <w:b/>
                <w:bCs/>
                <w:color w:val="00B050"/>
                <w:sz w:val="21"/>
                <w:szCs w:val="21"/>
              </w:rPr>
            </w:pPr>
            <w:r w:rsidRPr="003E3FC4">
              <w:rPr>
                <w:rFonts w:cs="Arial"/>
                <w:b/>
                <w:bCs/>
                <w:color w:val="00B050"/>
                <w:sz w:val="21"/>
                <w:szCs w:val="21"/>
              </w:rPr>
              <w:t>Plus</w:t>
            </w:r>
          </w:p>
          <w:p w14:paraId="4A7283F1" w14:textId="77777777" w:rsidR="00D219FA" w:rsidRPr="003E3FC4" w:rsidRDefault="00D219FA" w:rsidP="002B0F76">
            <w:pPr>
              <w:spacing w:line="276" w:lineRule="auto"/>
              <w:jc w:val="center"/>
              <w:rPr>
                <w:rFonts w:cs="Arial"/>
                <w:sz w:val="21"/>
                <w:szCs w:val="21"/>
              </w:rPr>
            </w:pPr>
            <w:r w:rsidRPr="003E3FC4">
              <w:rPr>
                <w:rFonts w:cs="Arial"/>
                <w:sz w:val="21"/>
                <w:szCs w:val="21"/>
              </w:rPr>
              <w:lastRenderedPageBreak/>
              <w:t>[non-operating grants/contributions for asset renewal]</w:t>
            </w:r>
          </w:p>
        </w:tc>
      </w:tr>
      <w:tr w:rsidR="00D219FA" w:rsidRPr="003E3FC4" w14:paraId="4827E39B" w14:textId="77777777" w:rsidTr="002B0F76">
        <w:trPr>
          <w:jc w:val="center"/>
        </w:trPr>
        <w:tc>
          <w:tcPr>
            <w:tcW w:w="452" w:type="dxa"/>
            <w:vMerge w:val="restart"/>
            <w:shd w:val="clear" w:color="auto" w:fill="BF4E14" w:themeFill="accent2" w:themeFillShade="BF"/>
          </w:tcPr>
          <w:p w14:paraId="7BB9894D" w14:textId="77777777" w:rsidR="00D219FA" w:rsidRPr="003E3FC4" w:rsidRDefault="00D219FA" w:rsidP="002B0F76">
            <w:pPr>
              <w:rPr>
                <w:rFonts w:cs="Arial"/>
                <w:b/>
                <w:bCs/>
                <w:color w:val="FFFFFF" w:themeColor="background1"/>
                <w:sz w:val="21"/>
                <w:szCs w:val="21"/>
              </w:rPr>
            </w:pPr>
            <w:r w:rsidRPr="003E3FC4">
              <w:rPr>
                <w:rFonts w:cs="Arial"/>
                <w:b/>
                <w:bCs/>
                <w:color w:val="FFFFFF" w:themeColor="background1"/>
                <w:sz w:val="21"/>
                <w:szCs w:val="21"/>
              </w:rPr>
              <w:lastRenderedPageBreak/>
              <w:t>4</w:t>
            </w:r>
          </w:p>
        </w:tc>
        <w:tc>
          <w:tcPr>
            <w:tcW w:w="1675" w:type="dxa"/>
            <w:vMerge w:val="restart"/>
            <w:shd w:val="clear" w:color="auto" w:fill="BF4E14" w:themeFill="accent2" w:themeFillShade="BF"/>
          </w:tcPr>
          <w:p w14:paraId="17D537E0" w14:textId="77777777" w:rsidR="00D219FA" w:rsidRPr="003E3FC4" w:rsidRDefault="00D219FA" w:rsidP="002B0F76">
            <w:pPr>
              <w:rPr>
                <w:rFonts w:cs="Arial"/>
                <w:b/>
                <w:bCs/>
                <w:color w:val="FFFFFF" w:themeColor="background1"/>
                <w:sz w:val="21"/>
                <w:szCs w:val="21"/>
              </w:rPr>
            </w:pPr>
            <w:r w:rsidRPr="003E3FC4">
              <w:rPr>
                <w:rFonts w:cs="Arial"/>
                <w:b/>
                <w:bCs/>
                <w:color w:val="FFFFFF" w:themeColor="background1"/>
                <w:sz w:val="21"/>
                <w:szCs w:val="21"/>
              </w:rPr>
              <w:t>Net Liabilities Ratio</w:t>
            </w:r>
          </w:p>
        </w:tc>
        <w:tc>
          <w:tcPr>
            <w:tcW w:w="1554" w:type="dxa"/>
          </w:tcPr>
          <w:p w14:paraId="69CD4B3D" w14:textId="77777777" w:rsidR="00D219FA" w:rsidRPr="003E3FC4" w:rsidRDefault="00D219FA" w:rsidP="002B0F76">
            <w:pPr>
              <w:rPr>
                <w:rFonts w:cs="Arial"/>
                <w:b/>
                <w:bCs/>
                <w:sz w:val="21"/>
                <w:szCs w:val="21"/>
              </w:rPr>
            </w:pPr>
            <w:r w:rsidRPr="003E3FC4">
              <w:rPr>
                <w:sz w:val="21"/>
                <w:szCs w:val="21"/>
              </w:rPr>
              <w:t>Numerator</w:t>
            </w:r>
          </w:p>
        </w:tc>
        <w:tc>
          <w:tcPr>
            <w:tcW w:w="1984" w:type="dxa"/>
            <w:shd w:val="clear" w:color="auto" w:fill="FAE2D5" w:themeFill="accent2" w:themeFillTint="33"/>
          </w:tcPr>
          <w:p w14:paraId="03CC4C37" w14:textId="77777777" w:rsidR="00D219FA" w:rsidRPr="003E3FC4" w:rsidRDefault="00D219FA" w:rsidP="002B0F76">
            <w:pPr>
              <w:rPr>
                <w:rFonts w:cs="Arial"/>
                <w:b/>
                <w:bCs/>
                <w:sz w:val="21"/>
                <w:szCs w:val="21"/>
              </w:rPr>
            </w:pPr>
            <w:r w:rsidRPr="003E3FC4">
              <w:rPr>
                <w:sz w:val="21"/>
                <w:szCs w:val="21"/>
              </w:rPr>
              <w:t>Net Financial Liabilities</w:t>
            </w:r>
          </w:p>
        </w:tc>
        <w:tc>
          <w:tcPr>
            <w:tcW w:w="10773" w:type="dxa"/>
          </w:tcPr>
          <w:p w14:paraId="4F94806B" w14:textId="77777777" w:rsidR="00D219FA" w:rsidRPr="003E3FC4" w:rsidRDefault="00D219FA" w:rsidP="002B0F76">
            <w:pPr>
              <w:spacing w:line="276" w:lineRule="auto"/>
              <w:jc w:val="center"/>
              <w:rPr>
                <w:rFonts w:cs="Arial"/>
                <w:sz w:val="21"/>
                <w:szCs w:val="21"/>
              </w:rPr>
            </w:pPr>
            <w:r w:rsidRPr="003E3FC4">
              <w:rPr>
                <w:rFonts w:cs="Arial"/>
                <w:sz w:val="21"/>
                <w:szCs w:val="21"/>
              </w:rPr>
              <w:t>[</w:t>
            </w:r>
            <w:r w:rsidRPr="003E3FC4">
              <w:rPr>
                <w:rFonts w:cs="Arial"/>
                <w:color w:val="0070C0"/>
                <w:sz w:val="21"/>
                <w:szCs w:val="21"/>
              </w:rPr>
              <w:t xml:space="preserve">Total Liabilities </w:t>
            </w:r>
            <w:r w:rsidRPr="003E3FC4">
              <w:rPr>
                <w:rFonts w:cs="Arial"/>
                <w:sz w:val="21"/>
                <w:szCs w:val="21"/>
              </w:rPr>
              <w:t>= Per SoFP less liabilities for equity-accounted investments but including amounts in advance and Lease Liabilities]</w:t>
            </w:r>
          </w:p>
          <w:p w14:paraId="0F0F69AF" w14:textId="77777777" w:rsidR="00D219FA" w:rsidRPr="003E3FC4" w:rsidRDefault="00D219FA" w:rsidP="002B0F76">
            <w:pPr>
              <w:spacing w:line="276" w:lineRule="auto"/>
              <w:jc w:val="center"/>
              <w:rPr>
                <w:rFonts w:cs="Arial"/>
                <w:b/>
                <w:bCs/>
                <w:color w:val="FF0000"/>
                <w:sz w:val="21"/>
                <w:szCs w:val="21"/>
              </w:rPr>
            </w:pPr>
            <w:r w:rsidRPr="003E3FC4">
              <w:rPr>
                <w:rFonts w:cs="Arial"/>
                <w:b/>
                <w:bCs/>
                <w:color w:val="FF0000"/>
                <w:sz w:val="21"/>
                <w:szCs w:val="21"/>
              </w:rPr>
              <w:t>Less</w:t>
            </w:r>
          </w:p>
          <w:p w14:paraId="5D5605C3" w14:textId="77777777" w:rsidR="00D219FA" w:rsidRPr="003E3FC4" w:rsidRDefault="00D219FA" w:rsidP="002B0F76">
            <w:pPr>
              <w:spacing w:line="276" w:lineRule="auto"/>
              <w:jc w:val="center"/>
              <w:rPr>
                <w:rFonts w:cs="Arial"/>
                <w:sz w:val="21"/>
                <w:szCs w:val="21"/>
              </w:rPr>
            </w:pPr>
            <w:r w:rsidRPr="003E3FC4">
              <w:rPr>
                <w:rFonts w:cs="Arial"/>
                <w:sz w:val="21"/>
                <w:szCs w:val="21"/>
              </w:rPr>
              <w:t>[</w:t>
            </w:r>
            <w:r w:rsidRPr="003E3FC4">
              <w:rPr>
                <w:rFonts w:cs="Arial"/>
                <w:color w:val="0070C0"/>
                <w:sz w:val="21"/>
                <w:szCs w:val="21"/>
              </w:rPr>
              <w:t xml:space="preserve">Financial Assets </w:t>
            </w:r>
            <w:r w:rsidRPr="003E3FC4">
              <w:rPr>
                <w:rFonts w:cs="Arial"/>
                <w:sz w:val="21"/>
                <w:szCs w:val="21"/>
              </w:rPr>
              <w:t>= Sum of (</w:t>
            </w:r>
            <w:proofErr w:type="spellStart"/>
            <w:r w:rsidRPr="003E3FC4">
              <w:rPr>
                <w:rFonts w:cs="Arial"/>
                <w:sz w:val="21"/>
                <w:szCs w:val="21"/>
              </w:rPr>
              <w:t>i</w:t>
            </w:r>
            <w:proofErr w:type="spellEnd"/>
            <w:r w:rsidRPr="003E3FC4">
              <w:rPr>
                <w:rFonts w:cs="Arial"/>
                <w:sz w:val="21"/>
                <w:szCs w:val="21"/>
              </w:rPr>
              <w:t>) current cash &amp; cash equivalents, (ii) current trade &amp; other receivables, (iii) current other financial assets, (iv) non-current trade &amp; other receivables and (v) non-current financial assets]</w:t>
            </w:r>
          </w:p>
        </w:tc>
      </w:tr>
      <w:tr w:rsidR="00D219FA" w:rsidRPr="003E3FC4" w14:paraId="185CDF0F" w14:textId="77777777" w:rsidTr="002B0F76">
        <w:trPr>
          <w:jc w:val="center"/>
        </w:trPr>
        <w:tc>
          <w:tcPr>
            <w:tcW w:w="452" w:type="dxa"/>
            <w:vMerge/>
            <w:shd w:val="clear" w:color="auto" w:fill="BF4E14" w:themeFill="accent2" w:themeFillShade="BF"/>
          </w:tcPr>
          <w:p w14:paraId="3D537C03" w14:textId="77777777" w:rsidR="00D219FA" w:rsidRPr="003E3FC4" w:rsidRDefault="00D219FA" w:rsidP="002B0F76">
            <w:pPr>
              <w:rPr>
                <w:rFonts w:cs="Arial"/>
                <w:b/>
                <w:bCs/>
                <w:sz w:val="21"/>
                <w:szCs w:val="21"/>
              </w:rPr>
            </w:pPr>
          </w:p>
        </w:tc>
        <w:tc>
          <w:tcPr>
            <w:tcW w:w="1675" w:type="dxa"/>
            <w:vMerge/>
            <w:shd w:val="clear" w:color="auto" w:fill="BF4E14" w:themeFill="accent2" w:themeFillShade="BF"/>
          </w:tcPr>
          <w:p w14:paraId="46C95C9A" w14:textId="77777777" w:rsidR="00D219FA" w:rsidRPr="003E3FC4" w:rsidRDefault="00D219FA" w:rsidP="002B0F76">
            <w:pPr>
              <w:rPr>
                <w:rFonts w:cs="Arial"/>
                <w:b/>
                <w:bCs/>
                <w:sz w:val="21"/>
                <w:szCs w:val="21"/>
              </w:rPr>
            </w:pPr>
          </w:p>
        </w:tc>
        <w:tc>
          <w:tcPr>
            <w:tcW w:w="1554" w:type="dxa"/>
          </w:tcPr>
          <w:p w14:paraId="35F24DCC" w14:textId="77777777" w:rsidR="00D219FA" w:rsidRPr="003E3FC4" w:rsidRDefault="00D219FA" w:rsidP="002B0F76">
            <w:pPr>
              <w:rPr>
                <w:rFonts w:cs="Arial"/>
                <w:b/>
                <w:bCs/>
                <w:sz w:val="21"/>
                <w:szCs w:val="21"/>
              </w:rPr>
            </w:pPr>
            <w:r w:rsidRPr="003E3FC4">
              <w:rPr>
                <w:sz w:val="21"/>
                <w:szCs w:val="21"/>
              </w:rPr>
              <w:t>Denominator</w:t>
            </w:r>
          </w:p>
        </w:tc>
        <w:tc>
          <w:tcPr>
            <w:tcW w:w="1984" w:type="dxa"/>
            <w:shd w:val="clear" w:color="auto" w:fill="F1A983" w:themeFill="accent2" w:themeFillTint="99"/>
          </w:tcPr>
          <w:p w14:paraId="2B9F5A63" w14:textId="77777777" w:rsidR="00D219FA" w:rsidRPr="003E3FC4" w:rsidRDefault="00D219FA" w:rsidP="002B0F76">
            <w:pPr>
              <w:rPr>
                <w:rFonts w:cs="Arial"/>
                <w:b/>
                <w:bCs/>
                <w:sz w:val="21"/>
                <w:szCs w:val="21"/>
              </w:rPr>
            </w:pPr>
            <w:r w:rsidRPr="003E3FC4">
              <w:rPr>
                <w:sz w:val="21"/>
                <w:szCs w:val="21"/>
              </w:rPr>
              <w:t>Adjusted Operating Revenue (1)</w:t>
            </w:r>
          </w:p>
        </w:tc>
        <w:tc>
          <w:tcPr>
            <w:tcW w:w="10773" w:type="dxa"/>
          </w:tcPr>
          <w:p w14:paraId="1B5B4230" w14:textId="77777777" w:rsidR="00D219FA" w:rsidRPr="003E3FC4" w:rsidRDefault="00D219FA" w:rsidP="002B0F76">
            <w:pPr>
              <w:spacing w:line="276" w:lineRule="auto"/>
              <w:jc w:val="center"/>
              <w:rPr>
                <w:rFonts w:cs="Arial"/>
                <w:sz w:val="21"/>
                <w:szCs w:val="21"/>
              </w:rPr>
            </w:pPr>
            <w:r w:rsidRPr="003E3FC4">
              <w:rPr>
                <w:rFonts w:cs="Arial"/>
                <w:sz w:val="21"/>
                <w:szCs w:val="21"/>
              </w:rPr>
              <w:t>[</w:t>
            </w:r>
            <w:r w:rsidRPr="003E3FC4">
              <w:rPr>
                <w:rFonts w:cs="Arial"/>
                <w:color w:val="0070C0"/>
                <w:sz w:val="21"/>
                <w:szCs w:val="21"/>
              </w:rPr>
              <w:t xml:space="preserve">Operating Revenues </w:t>
            </w:r>
            <w:r w:rsidRPr="003E3FC4">
              <w:rPr>
                <w:rFonts w:cs="Arial"/>
                <w:sz w:val="21"/>
                <w:szCs w:val="21"/>
              </w:rPr>
              <w:t>= Sum of (</w:t>
            </w:r>
            <w:proofErr w:type="spellStart"/>
            <w:r w:rsidRPr="003E3FC4">
              <w:rPr>
                <w:rFonts w:cs="Arial"/>
                <w:sz w:val="21"/>
                <w:szCs w:val="21"/>
              </w:rPr>
              <w:t>i</w:t>
            </w:r>
            <w:proofErr w:type="spellEnd"/>
            <w:r w:rsidRPr="003E3FC4">
              <w:rPr>
                <w:rFonts w:cs="Arial"/>
                <w:sz w:val="21"/>
                <w:szCs w:val="21"/>
              </w:rPr>
              <w:t>) rates, (ii) service charges (iii) grants, subsidies and contributions (iv) fees and charges (v) interest and earnings and (vi) other revenue]</w:t>
            </w:r>
          </w:p>
          <w:p w14:paraId="1706E416" w14:textId="77777777" w:rsidR="00D219FA" w:rsidRPr="003E3FC4" w:rsidRDefault="00D219FA" w:rsidP="002B0F76">
            <w:pPr>
              <w:spacing w:line="276" w:lineRule="auto"/>
              <w:jc w:val="center"/>
              <w:rPr>
                <w:rFonts w:cs="Arial"/>
                <w:b/>
                <w:bCs/>
                <w:color w:val="00B050"/>
                <w:sz w:val="21"/>
                <w:szCs w:val="21"/>
              </w:rPr>
            </w:pPr>
            <w:r w:rsidRPr="003E3FC4">
              <w:rPr>
                <w:rFonts w:cs="Arial"/>
                <w:b/>
                <w:bCs/>
                <w:color w:val="00B050"/>
                <w:sz w:val="21"/>
                <w:szCs w:val="21"/>
              </w:rPr>
              <w:t>Plus</w:t>
            </w:r>
          </w:p>
          <w:p w14:paraId="7E68DFC1" w14:textId="77777777" w:rsidR="00D219FA" w:rsidRPr="003E3FC4" w:rsidRDefault="00D219FA" w:rsidP="002B0F76">
            <w:pPr>
              <w:spacing w:line="276" w:lineRule="auto"/>
              <w:jc w:val="center"/>
              <w:rPr>
                <w:rFonts w:cs="Arial"/>
                <w:sz w:val="21"/>
                <w:szCs w:val="21"/>
              </w:rPr>
            </w:pPr>
            <w:r w:rsidRPr="003E3FC4">
              <w:rPr>
                <w:rFonts w:cs="Arial"/>
                <w:sz w:val="21"/>
                <w:szCs w:val="21"/>
              </w:rPr>
              <w:t>[</w:t>
            </w:r>
            <w:r w:rsidRPr="003E3FC4">
              <w:rPr>
                <w:rFonts w:cs="Arial"/>
                <w:color w:val="0070C0"/>
                <w:sz w:val="21"/>
                <w:szCs w:val="21"/>
              </w:rPr>
              <w:t xml:space="preserve">Federal Assistance Grants adjustment </w:t>
            </w:r>
            <w:r w:rsidRPr="003E3FC4">
              <w:rPr>
                <w:rFonts w:cs="Arial"/>
                <w:sz w:val="21"/>
                <w:szCs w:val="21"/>
              </w:rPr>
              <w:t>= Prior year Federal Assistance Grant less current year advance]</w:t>
            </w:r>
          </w:p>
        </w:tc>
      </w:tr>
    </w:tbl>
    <w:p w14:paraId="3DE60450" w14:textId="77777777" w:rsidR="00D219FA" w:rsidRDefault="00D219FA" w:rsidP="00D219FA">
      <w:pPr>
        <w:spacing w:line="300" w:lineRule="auto"/>
        <w:rPr>
          <w:rFonts w:cs="Arial"/>
        </w:rPr>
      </w:pPr>
    </w:p>
    <w:p w14:paraId="0BC70734" w14:textId="77777777" w:rsidR="00D17B49" w:rsidRDefault="00D17B49" w:rsidP="00E91655">
      <w:pPr>
        <w:pStyle w:val="FootnoteText"/>
      </w:pPr>
    </w:p>
    <w:p w14:paraId="683116B6" w14:textId="77777777" w:rsidR="00D17B49" w:rsidRDefault="00D17B49" w:rsidP="00E91655">
      <w:pPr>
        <w:pStyle w:val="FootnoteText"/>
      </w:pPr>
    </w:p>
    <w:p w14:paraId="3E4138C8" w14:textId="77777777" w:rsidR="00D17B49" w:rsidRDefault="00D17B49" w:rsidP="00E91655">
      <w:pPr>
        <w:pStyle w:val="FootnoteText"/>
        <w:sectPr w:rsidR="00D17B49" w:rsidSect="00E22394">
          <w:pgSz w:w="16838" w:h="11906" w:orient="landscape"/>
          <w:pgMar w:top="1440" w:right="1440" w:bottom="1440" w:left="1440" w:header="708" w:footer="708" w:gutter="0"/>
          <w:cols w:space="708"/>
          <w:docGrid w:linePitch="360"/>
        </w:sectPr>
      </w:pPr>
    </w:p>
    <w:p w14:paraId="672C2360" w14:textId="77777777" w:rsidR="00604595" w:rsidRPr="00604595" w:rsidRDefault="00742BEC" w:rsidP="00E91655">
      <w:pPr>
        <w:pStyle w:val="FootnoteText"/>
      </w:pPr>
      <w:r>
        <w:rPr>
          <w:noProof/>
        </w:rPr>
        <w:lastRenderedPageBreak/>
        <mc:AlternateContent>
          <mc:Choice Requires="wps">
            <w:drawing>
              <wp:anchor distT="45720" distB="45720" distL="114300" distR="114300" simplePos="0" relativeHeight="251667456" behindDoc="0" locked="0" layoutInCell="1" allowOverlap="1" wp14:anchorId="13D3BC78" wp14:editId="3CF20FFA">
                <wp:simplePos x="0" y="0"/>
                <wp:positionH relativeFrom="column">
                  <wp:posOffset>-288290</wp:posOffset>
                </wp:positionH>
                <wp:positionV relativeFrom="paragraph">
                  <wp:posOffset>7641397</wp:posOffset>
                </wp:positionV>
                <wp:extent cx="2907030" cy="1212215"/>
                <wp:effectExtent l="0" t="0" r="7620" b="6985"/>
                <wp:wrapSquare wrapText="bothSides"/>
                <wp:docPr id="660637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1212215"/>
                        </a:xfrm>
                        <a:prstGeom prst="rect">
                          <a:avLst/>
                        </a:prstGeom>
                        <a:solidFill>
                          <a:srgbClr val="FFFFFF"/>
                        </a:solidFill>
                        <a:ln w="9525">
                          <a:noFill/>
                          <a:miter lim="800000"/>
                          <a:headEnd/>
                          <a:tailEnd/>
                        </a:ln>
                      </wps:spPr>
                      <wps:txbx>
                        <w:txbxContent>
                          <w:p w14:paraId="43BF4D1C" w14:textId="77777777" w:rsidR="00742BEC" w:rsidRPr="00742BEC" w:rsidRDefault="00742BEC" w:rsidP="00742BEC">
                            <w:r w:rsidRPr="00742BEC">
                              <w:t xml:space="preserve">Department of Local Government, </w:t>
                            </w:r>
                            <w:r w:rsidR="00CC432E">
                              <w:br/>
                            </w:r>
                            <w:r w:rsidRPr="00742BEC">
                              <w:t xml:space="preserve">Sport and Cultural Industries </w:t>
                            </w:r>
                            <w:r w:rsidR="00CC432E">
                              <w:br/>
                            </w:r>
                            <w:r w:rsidRPr="00742BEC">
                              <w:t xml:space="preserve">PO BOX 8349 </w:t>
                            </w:r>
                            <w:r w:rsidR="00CC432E">
                              <w:br/>
                            </w:r>
                            <w:r w:rsidRPr="00742BEC">
                              <w:t xml:space="preserve">Perth Business Centre WA 6849 </w:t>
                            </w:r>
                            <w:r w:rsidR="00CC432E">
                              <w:br/>
                            </w:r>
                            <w:r w:rsidRPr="00742BEC">
                              <w:t xml:space="preserve">Email: </w:t>
                            </w:r>
                            <w:r w:rsidR="00726D09">
                              <w:t>info</w:t>
                            </w:r>
                            <w:r w:rsidRPr="00742BEC">
                              <w:t xml:space="preserve">@dlgsc.wa.gov.au </w:t>
                            </w:r>
                            <w:r w:rsidR="00CC432E">
                              <w:br/>
                            </w:r>
                            <w:r w:rsidRPr="00742BEC">
                              <w:t>Website: www.dlgsc.wa.gov.au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3BC78" id="_x0000_s1027" type="#_x0000_t202" style="position:absolute;margin-left:-22.7pt;margin-top:601.7pt;width:228.9pt;height:95.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" stroked="f">
                <v:textbox>
                  <w:txbxContent>
                    <w:p w14:paraId="43BF4D1C" w14:textId="77777777" w:rsidR="00742BEC" w:rsidRPr="00742BEC" w:rsidRDefault="00742BEC" w:rsidP="00742BEC">
                      <w:r w:rsidRPr="00742BEC">
                        <w:t xml:space="preserve">Department of Local Government, </w:t>
                      </w:r>
                      <w:r w:rsidR="00CC432E">
                        <w:br/>
                      </w:r>
                      <w:r w:rsidRPr="00742BEC">
                        <w:t xml:space="preserve">Sport and Cultural Industries </w:t>
                      </w:r>
                      <w:r w:rsidR="00CC432E">
                        <w:br/>
                      </w:r>
                      <w:r w:rsidRPr="00742BEC">
                        <w:t xml:space="preserve">PO BOX 8349 </w:t>
                      </w:r>
                      <w:r w:rsidR="00CC432E">
                        <w:br/>
                      </w:r>
                      <w:r w:rsidRPr="00742BEC">
                        <w:t xml:space="preserve">Perth Business Centre WA 6849 </w:t>
                      </w:r>
                      <w:r w:rsidR="00CC432E">
                        <w:br/>
                      </w:r>
                      <w:r w:rsidRPr="00742BEC">
                        <w:t xml:space="preserve">Email: </w:t>
                      </w:r>
                      <w:r w:rsidR="00726D09">
                        <w:t>info</w:t>
                      </w:r>
                      <w:r w:rsidRPr="00742BEC">
                        <w:t xml:space="preserve">@dlgsc.wa.gov.au </w:t>
                      </w:r>
                      <w:r w:rsidR="00CC432E">
                        <w:br/>
                      </w:r>
                      <w:r w:rsidRPr="00742BEC">
                        <w:t>Website: www.dlgsc.wa.gov.au</w:t>
                      </w:r>
                    </w:p>
                  </w:txbxContent>
                </v:textbox>
                <w10:wrap type="square"/>
              </v:shape>
            </w:pict>
          </mc:Fallback>
        </mc:AlternateContent>
      </w:r>
      <w:r w:rsidR="00224E88">
        <w:rPr>
          <w:noProof/>
          <w14:ligatures w14:val="standardContextual"/>
        </w:rPr>
        <w:drawing>
          <wp:anchor distT="0" distB="0" distL="114300" distR="114300" simplePos="0" relativeHeight="251662336" behindDoc="1" locked="0" layoutInCell="1" allowOverlap="1" wp14:anchorId="2D5BAF21" wp14:editId="315A5F81">
            <wp:simplePos x="0" y="0"/>
            <wp:positionH relativeFrom="column">
              <wp:posOffset>1237615</wp:posOffset>
            </wp:positionH>
            <wp:positionV relativeFrom="paragraph">
              <wp:posOffset>-914400</wp:posOffset>
            </wp:positionV>
            <wp:extent cx="5408295" cy="8863330"/>
            <wp:effectExtent l="0" t="0" r="1905" b="0"/>
            <wp:wrapNone/>
            <wp:docPr id="1772686018" name="Picture 1" descr="A yellow and blu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86018" name="Picture 1" descr="A yellow and blue gradien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8295" cy="8863330"/>
                    </a:xfrm>
                    <a:prstGeom prst="rect">
                      <a:avLst/>
                    </a:prstGeom>
                  </pic:spPr>
                </pic:pic>
              </a:graphicData>
            </a:graphic>
            <wp14:sizeRelH relativeFrom="page">
              <wp14:pctWidth>0</wp14:pctWidth>
            </wp14:sizeRelH>
            <wp14:sizeRelV relativeFrom="page">
              <wp14:pctHeight>0</wp14:pctHeight>
            </wp14:sizeRelV>
          </wp:anchor>
        </w:drawing>
      </w:r>
    </w:p>
    <w:sectPr w:rsidR="00604595" w:rsidRPr="006045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9ECBE" w14:textId="77777777" w:rsidR="00D219FA" w:rsidRDefault="00D219FA" w:rsidP="00EB283B">
      <w:r>
        <w:separator/>
      </w:r>
    </w:p>
  </w:endnote>
  <w:endnote w:type="continuationSeparator" w:id="0">
    <w:p w14:paraId="47A7E1D2" w14:textId="77777777" w:rsidR="00D219FA" w:rsidRDefault="00D219FA" w:rsidP="00EB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YXKCV G+ Area Normal">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5095" w14:textId="77777777" w:rsidR="00B03BA1" w:rsidRDefault="00B03BA1" w:rsidP="00B03BA1">
    <w:pPr>
      <w:jc w:val="right"/>
    </w:pPr>
    <w:r>
      <w:t xml:space="preserve">Page </w:t>
    </w:r>
    <w:sdt>
      <w:sdtPr>
        <w:id w:val="407194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FDF3BA6" w14:textId="77777777" w:rsidR="008F600D" w:rsidRDefault="008F6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13E59" w14:textId="77777777" w:rsidR="00D219FA" w:rsidRDefault="00D219FA" w:rsidP="00EB283B">
      <w:r>
        <w:separator/>
      </w:r>
    </w:p>
  </w:footnote>
  <w:footnote w:type="continuationSeparator" w:id="0">
    <w:p w14:paraId="277057D7" w14:textId="77777777" w:rsidR="00D219FA" w:rsidRDefault="00D219FA" w:rsidP="00EB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0BE"/>
    <w:multiLevelType w:val="multilevel"/>
    <w:tmpl w:val="9028EE40"/>
    <w:styleLink w:val="StyleBulletedSymbolsymbolLeft063cmHanging063cm"/>
    <w:lvl w:ilvl="0">
      <w:start w:val="1"/>
      <w:numFmt w:val="bullet"/>
      <w:lvlText w:val=""/>
      <w:lvlJc w:val="left"/>
      <w:pPr>
        <w:ind w:left="851" w:hanging="851"/>
      </w:pPr>
      <w:rPr>
        <w:rFonts w:ascii="Symbol" w:hAnsi="Symbol" w:hint="default"/>
        <w:color w:val="auto"/>
      </w:rPr>
    </w:lvl>
    <w:lvl w:ilvl="1">
      <w:start w:val="1"/>
      <w:numFmt w:val="bullet"/>
      <w:lvlText w:val="o"/>
      <w:lvlJc w:val="left"/>
      <w:pPr>
        <w:ind w:left="1702" w:hanging="851"/>
      </w:pPr>
      <w:rPr>
        <w:rFonts w:ascii="Courier New" w:hAnsi="Courier New" w:hint="default"/>
      </w:rPr>
    </w:lvl>
    <w:lvl w:ilvl="2">
      <w:start w:val="1"/>
      <w:numFmt w:val="bullet"/>
      <w:lvlText w:val=""/>
      <w:lvlJc w:val="left"/>
      <w:pPr>
        <w:ind w:left="2553" w:hanging="851"/>
      </w:pPr>
      <w:rPr>
        <w:rFonts w:ascii="Symbol" w:hAnsi="Symbol" w:hint="default"/>
      </w:rPr>
    </w:lvl>
    <w:lvl w:ilvl="3">
      <w:start w:val="1"/>
      <w:numFmt w:val="bullet"/>
      <w:lvlText w:val="o"/>
      <w:lvlJc w:val="left"/>
      <w:pPr>
        <w:ind w:left="3404" w:hanging="851"/>
      </w:pPr>
      <w:rPr>
        <w:rFonts w:ascii="Courier New" w:hAnsi="Courier New" w:hint="default"/>
      </w:rPr>
    </w:lvl>
    <w:lvl w:ilvl="4">
      <w:start w:val="1"/>
      <w:numFmt w:val="bullet"/>
      <w:lvlText w:val=""/>
      <w:lvlJc w:val="left"/>
      <w:pPr>
        <w:ind w:left="4255" w:hanging="851"/>
      </w:pPr>
      <w:rPr>
        <w:rFonts w:ascii="Symbol" w:hAnsi="Symbol" w:hint="default"/>
      </w:rPr>
    </w:lvl>
    <w:lvl w:ilvl="5">
      <w:start w:val="1"/>
      <w:numFmt w:val="bullet"/>
      <w:lvlText w:val="o"/>
      <w:lvlJc w:val="left"/>
      <w:pPr>
        <w:ind w:left="5103" w:hanging="848"/>
      </w:pPr>
      <w:rPr>
        <w:rFonts w:ascii="Courier New" w:hAnsi="Courier New" w:hint="default"/>
      </w:rPr>
    </w:lvl>
    <w:lvl w:ilvl="6">
      <w:start w:val="1"/>
      <w:numFmt w:val="bullet"/>
      <w:lvlText w:val=""/>
      <w:lvlJc w:val="left"/>
      <w:pPr>
        <w:ind w:left="5954" w:hanging="848"/>
      </w:pPr>
      <w:rPr>
        <w:rFonts w:ascii="Symbol" w:hAnsi="Symbol" w:hint="default"/>
      </w:rPr>
    </w:lvl>
    <w:lvl w:ilvl="7">
      <w:start w:val="1"/>
      <w:numFmt w:val="bullet"/>
      <w:lvlText w:val="o"/>
      <w:lvlJc w:val="left"/>
      <w:pPr>
        <w:ind w:left="6804" w:hanging="850"/>
      </w:pPr>
      <w:rPr>
        <w:rFonts w:ascii="Courier New" w:hAnsi="Courier New" w:hint="default"/>
      </w:rPr>
    </w:lvl>
    <w:lvl w:ilvl="8">
      <w:start w:val="1"/>
      <w:numFmt w:val="bullet"/>
      <w:lvlText w:val=""/>
      <w:lvlJc w:val="left"/>
      <w:pPr>
        <w:ind w:left="7655" w:hanging="851"/>
      </w:pPr>
      <w:rPr>
        <w:rFonts w:ascii="Symbol" w:hAnsi="Symbol" w:hint="default"/>
      </w:rPr>
    </w:lvl>
  </w:abstractNum>
  <w:abstractNum w:abstractNumId="1" w15:restartNumberingAfterBreak="0">
    <w:nsid w:val="0C460900"/>
    <w:multiLevelType w:val="hybridMultilevel"/>
    <w:tmpl w:val="D1A079BE"/>
    <w:lvl w:ilvl="0" w:tplc="0C09000F">
      <w:start w:val="1"/>
      <w:numFmt w:val="decimal"/>
      <w:lvlText w:val="%1."/>
      <w:lvlJc w:val="left"/>
      <w:pPr>
        <w:ind w:left="766" w:hanging="360"/>
      </w:pPr>
      <w:rPr>
        <w:rFont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2" w15:restartNumberingAfterBreak="0">
    <w:nsid w:val="10717681"/>
    <w:multiLevelType w:val="hybridMultilevel"/>
    <w:tmpl w:val="1F08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1B29B6"/>
    <w:multiLevelType w:val="multilevel"/>
    <w:tmpl w:val="7012C592"/>
    <w:lvl w:ilvl="0">
      <w:start w:val="1"/>
      <w:numFmt w:val="decimal"/>
      <w:pStyle w:val="Listnumber111"/>
      <w:lvlText w:val="%1."/>
      <w:lvlJc w:val="left"/>
      <w:pPr>
        <w:tabs>
          <w:tab w:val="num" w:pos="1418"/>
        </w:tabs>
        <w:ind w:left="1418" w:hanging="709"/>
      </w:pPr>
      <w:rPr>
        <w:rFonts w:hint="default"/>
        <w:color w:val="auto"/>
      </w:rPr>
    </w:lvl>
    <w:lvl w:ilvl="1">
      <w:start w:val="1"/>
      <w:numFmt w:val="lowerLetter"/>
      <w:isLgl/>
      <w:lvlText w:val="%1.%2."/>
      <w:lvlJc w:val="left"/>
      <w:pPr>
        <w:tabs>
          <w:tab w:val="num" w:pos="2127"/>
        </w:tabs>
        <w:ind w:left="2127" w:hanging="709"/>
      </w:pPr>
      <w:rPr>
        <w:rFonts w:hint="default"/>
      </w:rPr>
    </w:lvl>
    <w:lvl w:ilvl="2">
      <w:start w:val="1"/>
      <w:numFmt w:val="lowerRoman"/>
      <w:isLgl/>
      <w:lvlText w:val="%1.%2.%3."/>
      <w:lvlJc w:val="left"/>
      <w:pPr>
        <w:tabs>
          <w:tab w:val="num" w:pos="2835"/>
        </w:tabs>
        <w:ind w:left="2836" w:hanging="709"/>
      </w:pPr>
      <w:rPr>
        <w:rFonts w:hint="default"/>
      </w:rPr>
    </w:lvl>
    <w:lvl w:ilvl="3">
      <w:start w:val="1"/>
      <w:numFmt w:val="decimal"/>
      <w:isLgl/>
      <w:lvlText w:val="%1.%2.%3.%4."/>
      <w:lvlJc w:val="left"/>
      <w:pPr>
        <w:tabs>
          <w:tab w:val="num" w:pos="3544"/>
        </w:tabs>
        <w:ind w:left="3545" w:hanging="709"/>
      </w:pPr>
      <w:rPr>
        <w:rFonts w:hint="default"/>
      </w:rPr>
    </w:lvl>
    <w:lvl w:ilvl="4">
      <w:start w:val="1"/>
      <w:numFmt w:val="lowerLetter"/>
      <w:isLgl/>
      <w:lvlText w:val="%1.%2.%3.%4.%5."/>
      <w:lvlJc w:val="left"/>
      <w:pPr>
        <w:tabs>
          <w:tab w:val="num" w:pos="4253"/>
        </w:tabs>
        <w:ind w:left="4254" w:hanging="709"/>
      </w:pPr>
      <w:rPr>
        <w:rFonts w:hint="default"/>
      </w:rPr>
    </w:lvl>
    <w:lvl w:ilvl="5">
      <w:start w:val="1"/>
      <w:numFmt w:val="lowerRoman"/>
      <w:isLgl/>
      <w:lvlText w:val="%1.%2.%3.%4.%5.%6."/>
      <w:lvlJc w:val="left"/>
      <w:pPr>
        <w:tabs>
          <w:tab w:val="num" w:pos="4962"/>
        </w:tabs>
        <w:ind w:left="4963" w:hanging="709"/>
      </w:pPr>
      <w:rPr>
        <w:rFonts w:hint="default"/>
      </w:rPr>
    </w:lvl>
    <w:lvl w:ilvl="6">
      <w:start w:val="1"/>
      <w:numFmt w:val="decimal"/>
      <w:isLgl/>
      <w:lvlText w:val="%1.%2.%3.%4.%5.%6.%7."/>
      <w:lvlJc w:val="left"/>
      <w:pPr>
        <w:tabs>
          <w:tab w:val="num" w:pos="5670"/>
        </w:tabs>
        <w:ind w:left="5672" w:hanging="709"/>
      </w:pPr>
      <w:rPr>
        <w:rFonts w:hint="default"/>
      </w:rPr>
    </w:lvl>
    <w:lvl w:ilvl="7">
      <w:start w:val="1"/>
      <w:numFmt w:val="lowerLetter"/>
      <w:isLgl/>
      <w:lvlText w:val="%1.%2.%3.%4.%5.%6.%7.%8."/>
      <w:lvlJc w:val="left"/>
      <w:pPr>
        <w:tabs>
          <w:tab w:val="num" w:pos="6379"/>
        </w:tabs>
        <w:ind w:left="6381" w:hanging="709"/>
      </w:pPr>
      <w:rPr>
        <w:rFonts w:hint="default"/>
      </w:rPr>
    </w:lvl>
    <w:lvl w:ilvl="8">
      <w:start w:val="1"/>
      <w:numFmt w:val="lowerRoman"/>
      <w:isLgl/>
      <w:lvlText w:val="%1.%2.%3.%4.%5.%6.%7.%8.%9."/>
      <w:lvlJc w:val="left"/>
      <w:pPr>
        <w:tabs>
          <w:tab w:val="num" w:pos="7088"/>
        </w:tabs>
        <w:ind w:left="7090" w:hanging="709"/>
      </w:pPr>
      <w:rPr>
        <w:rFonts w:hint="default"/>
      </w:rPr>
    </w:lvl>
  </w:abstractNum>
  <w:abstractNum w:abstractNumId="4" w15:restartNumberingAfterBreak="0">
    <w:nsid w:val="17915643"/>
    <w:multiLevelType w:val="multilevel"/>
    <w:tmpl w:val="851AD0B6"/>
    <w:styleLink w:val="MLheadinglistnumliststyle"/>
    <w:lvl w:ilvl="0">
      <w:start w:val="1"/>
      <w:numFmt w:val="decimal"/>
      <w:pStyle w:val="HeadinglistnumL1"/>
      <w:lvlText w:val="%1."/>
      <w:lvlJc w:val="left"/>
      <w:pPr>
        <w:ind w:left="709" w:hanging="709"/>
      </w:pPr>
      <w:rPr>
        <w:rFonts w:hint="default"/>
      </w:rPr>
    </w:lvl>
    <w:lvl w:ilvl="1">
      <w:start w:val="1"/>
      <w:numFmt w:val="lowerLetter"/>
      <w:pStyle w:val="HeadinglistnumL2"/>
      <w:isLgl/>
      <w:lvlText w:val="%1.%2."/>
      <w:lvlJc w:val="left"/>
      <w:pPr>
        <w:ind w:left="1418" w:hanging="709"/>
      </w:pPr>
      <w:rPr>
        <w:rFonts w:hint="default"/>
      </w:rPr>
    </w:lvl>
    <w:lvl w:ilvl="2">
      <w:start w:val="1"/>
      <w:numFmt w:val="lowerRoman"/>
      <w:pStyle w:val="HeadinglistnumL3"/>
      <w:isLgl/>
      <w:lvlText w:val="%1.%2.%3."/>
      <w:lvlJc w:val="left"/>
      <w:pPr>
        <w:ind w:left="2127" w:hanging="709"/>
      </w:pPr>
      <w:rPr>
        <w:rFonts w:hint="default"/>
      </w:rPr>
    </w:lvl>
    <w:lvl w:ilvl="3">
      <w:start w:val="1"/>
      <w:numFmt w:val="decimal"/>
      <w:isLgl/>
      <w:lvlText w:val="%1.%2.%3.%4."/>
      <w:lvlJc w:val="left"/>
      <w:pPr>
        <w:ind w:left="2836" w:hanging="709"/>
      </w:pPr>
      <w:rPr>
        <w:rFonts w:hint="default"/>
      </w:rPr>
    </w:lvl>
    <w:lvl w:ilvl="4">
      <w:start w:val="1"/>
      <w:numFmt w:val="lowerLetter"/>
      <w:isLgl/>
      <w:lvlText w:val="%1.%2.%3.%4.%5."/>
      <w:lvlJc w:val="left"/>
      <w:pPr>
        <w:ind w:left="3545" w:hanging="709"/>
      </w:pPr>
      <w:rPr>
        <w:rFonts w:hint="default"/>
      </w:rPr>
    </w:lvl>
    <w:lvl w:ilvl="5">
      <w:start w:val="1"/>
      <w:numFmt w:val="lowerRoman"/>
      <w:isLgl/>
      <w:lvlText w:val="%1.%2.%3.%4.%5.%6."/>
      <w:lvlJc w:val="left"/>
      <w:pPr>
        <w:ind w:left="4254" w:hanging="709"/>
      </w:pPr>
      <w:rPr>
        <w:rFonts w:hint="default"/>
      </w:rPr>
    </w:lvl>
    <w:lvl w:ilvl="6">
      <w:start w:val="1"/>
      <w:numFmt w:val="decimal"/>
      <w:isLgl/>
      <w:lvlText w:val="%1.%2.%3.%4.%5.%6.%7."/>
      <w:lvlJc w:val="left"/>
      <w:pPr>
        <w:ind w:left="4963" w:hanging="709"/>
      </w:pPr>
      <w:rPr>
        <w:rFonts w:hint="default"/>
      </w:rPr>
    </w:lvl>
    <w:lvl w:ilvl="7">
      <w:start w:val="1"/>
      <w:numFmt w:val="lowerLetter"/>
      <w:isLgl/>
      <w:lvlText w:val="%1.%2.%3.%4.%5.%6.%8."/>
      <w:lvlJc w:val="left"/>
      <w:pPr>
        <w:ind w:left="5672" w:hanging="709"/>
      </w:pPr>
      <w:rPr>
        <w:rFonts w:hint="default"/>
      </w:rPr>
    </w:lvl>
    <w:lvl w:ilvl="8">
      <w:start w:val="1"/>
      <w:numFmt w:val="lowerRoman"/>
      <w:isLgl/>
      <w:lvlText w:val="%1.%2.%3.%4.%5.%6.%9."/>
      <w:lvlJc w:val="left"/>
      <w:pPr>
        <w:ind w:left="6381" w:hanging="709"/>
      </w:pPr>
      <w:rPr>
        <w:rFonts w:hint="default"/>
      </w:rPr>
    </w:lvl>
  </w:abstractNum>
  <w:abstractNum w:abstractNumId="5" w15:restartNumberingAfterBreak="0">
    <w:nsid w:val="18DA17F4"/>
    <w:multiLevelType w:val="hybridMultilevel"/>
    <w:tmpl w:val="E6166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635B11"/>
    <w:multiLevelType w:val="multilevel"/>
    <w:tmpl w:val="DB749BDA"/>
    <w:lvl w:ilvl="0">
      <w:start w:val="1"/>
      <w:numFmt w:val="bullet"/>
      <w:pStyle w:val="Listbullet"/>
      <w:lvlText w:val=""/>
      <w:lvlJc w:val="left"/>
      <w:pPr>
        <w:ind w:left="709" w:hanging="709"/>
      </w:pPr>
      <w:rPr>
        <w:rFonts w:ascii="Symbol" w:hAnsi="Symbol" w:hint="default"/>
        <w:color w:val="auto"/>
      </w:rPr>
    </w:lvl>
    <w:lvl w:ilvl="1">
      <w:start w:val="1"/>
      <w:numFmt w:val="bullet"/>
      <w:lvlText w:val="o"/>
      <w:lvlJc w:val="left"/>
      <w:pPr>
        <w:ind w:left="1418" w:hanging="709"/>
      </w:pPr>
      <w:rPr>
        <w:rFonts w:ascii="Courier New" w:hAnsi="Courier New" w:hint="default"/>
      </w:rPr>
    </w:lvl>
    <w:lvl w:ilvl="2">
      <w:start w:val="1"/>
      <w:numFmt w:val="bullet"/>
      <w:lvlText w:val=""/>
      <w:lvlJc w:val="left"/>
      <w:pPr>
        <w:ind w:left="2127" w:hanging="709"/>
      </w:pPr>
      <w:rPr>
        <w:rFonts w:ascii="Symbol" w:hAnsi="Symbol" w:hint="default"/>
        <w:color w:val="auto"/>
      </w:rPr>
    </w:lvl>
    <w:lvl w:ilvl="3">
      <w:start w:val="1"/>
      <w:numFmt w:val="bullet"/>
      <w:lvlText w:val="o"/>
      <w:lvlJc w:val="left"/>
      <w:pPr>
        <w:ind w:left="2836" w:hanging="709"/>
      </w:pPr>
      <w:rPr>
        <w:rFonts w:ascii="Courier New" w:hAnsi="Courier New" w:hint="default"/>
      </w:rPr>
    </w:lvl>
    <w:lvl w:ilvl="4">
      <w:start w:val="1"/>
      <w:numFmt w:val="bullet"/>
      <w:lvlText w:val=""/>
      <w:lvlJc w:val="left"/>
      <w:pPr>
        <w:ind w:left="3545" w:hanging="709"/>
      </w:pPr>
      <w:rPr>
        <w:rFonts w:ascii="Symbol" w:hAnsi="Symbol" w:hint="default"/>
        <w:color w:val="auto"/>
      </w:rPr>
    </w:lvl>
    <w:lvl w:ilvl="5">
      <w:start w:val="1"/>
      <w:numFmt w:val="bullet"/>
      <w:lvlText w:val="o"/>
      <w:lvlJc w:val="left"/>
      <w:pPr>
        <w:ind w:left="4254" w:hanging="709"/>
      </w:pPr>
      <w:rPr>
        <w:rFonts w:ascii="Courier New" w:hAnsi="Courier New" w:hint="default"/>
      </w:rPr>
    </w:lvl>
    <w:lvl w:ilvl="6">
      <w:start w:val="1"/>
      <w:numFmt w:val="bullet"/>
      <w:lvlText w:val=""/>
      <w:lvlJc w:val="left"/>
      <w:pPr>
        <w:ind w:left="4963" w:hanging="709"/>
      </w:pPr>
      <w:rPr>
        <w:rFonts w:ascii="Symbol" w:hAnsi="Symbol" w:hint="default"/>
      </w:rPr>
    </w:lvl>
    <w:lvl w:ilvl="7">
      <w:start w:val="1"/>
      <w:numFmt w:val="bullet"/>
      <w:lvlText w:val="o"/>
      <w:lvlJc w:val="left"/>
      <w:pPr>
        <w:ind w:left="5672" w:hanging="709"/>
      </w:pPr>
      <w:rPr>
        <w:rFonts w:ascii="Courier New" w:hAnsi="Courier New" w:hint="default"/>
      </w:rPr>
    </w:lvl>
    <w:lvl w:ilvl="8">
      <w:start w:val="1"/>
      <w:numFmt w:val="bullet"/>
      <w:lvlText w:val=""/>
      <w:lvlJc w:val="left"/>
      <w:pPr>
        <w:ind w:left="6381" w:hanging="709"/>
      </w:pPr>
      <w:rPr>
        <w:rFonts w:ascii="Symbol" w:hAnsi="Symbol" w:hint="default"/>
        <w:color w:val="auto"/>
      </w:rPr>
    </w:lvl>
  </w:abstractNum>
  <w:abstractNum w:abstractNumId="7" w15:restartNumberingAfterBreak="0">
    <w:nsid w:val="1DA210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A14BB4"/>
    <w:multiLevelType w:val="multilevel"/>
    <w:tmpl w:val="39C4A09E"/>
    <w:styleLink w:val="StyleNumberedLeft063cmHanging063cm"/>
    <w:lvl w:ilvl="0">
      <w:start w:val="1"/>
      <w:numFmt w:val="decimal"/>
      <w:isLgl/>
      <w:lvlText w:val="%1."/>
      <w:lvlJc w:val="left"/>
      <w:pPr>
        <w:ind w:left="709" w:hanging="709"/>
      </w:pPr>
      <w:rPr>
        <w:rFonts w:hint="default"/>
        <w:color w:val="auto"/>
      </w:rPr>
    </w:lvl>
    <w:lvl w:ilvl="1">
      <w:start w:val="1"/>
      <w:numFmt w:val="lowerLetter"/>
      <w:isLgl/>
      <w:lvlText w:val="%1.%2."/>
      <w:lvlJc w:val="left"/>
      <w:pPr>
        <w:ind w:left="1418" w:hanging="709"/>
      </w:pPr>
      <w:rPr>
        <w:rFonts w:hint="default"/>
      </w:rPr>
    </w:lvl>
    <w:lvl w:ilvl="2">
      <w:start w:val="1"/>
      <w:numFmt w:val="lowerRoman"/>
      <w:isLgl/>
      <w:lvlText w:val="%1.%2.%3."/>
      <w:lvlJc w:val="right"/>
      <w:pPr>
        <w:ind w:left="2127" w:hanging="709"/>
      </w:pPr>
      <w:rPr>
        <w:rFonts w:hint="default"/>
      </w:rPr>
    </w:lvl>
    <w:lvl w:ilvl="3">
      <w:start w:val="1"/>
      <w:numFmt w:val="decimal"/>
      <w:isLgl/>
      <w:lvlText w:val="%1.%2.%3.%4."/>
      <w:lvlJc w:val="left"/>
      <w:pPr>
        <w:ind w:left="2836" w:hanging="709"/>
      </w:pPr>
      <w:rPr>
        <w:rFonts w:hint="default"/>
      </w:rPr>
    </w:lvl>
    <w:lvl w:ilvl="4">
      <w:start w:val="1"/>
      <w:numFmt w:val="lowerLetter"/>
      <w:isLgl/>
      <w:lvlText w:val="%1.%2.%3.%4.%5."/>
      <w:lvlJc w:val="left"/>
      <w:pPr>
        <w:ind w:left="3545" w:hanging="709"/>
      </w:pPr>
      <w:rPr>
        <w:rFonts w:hint="default"/>
      </w:rPr>
    </w:lvl>
    <w:lvl w:ilvl="5">
      <w:start w:val="1"/>
      <w:numFmt w:val="lowerRoman"/>
      <w:isLgl/>
      <w:lvlText w:val="%1.%2.%3.%4.%5.%6."/>
      <w:lvlJc w:val="right"/>
      <w:pPr>
        <w:ind w:left="4254" w:hanging="709"/>
      </w:pPr>
      <w:rPr>
        <w:rFonts w:hint="default"/>
      </w:rPr>
    </w:lvl>
    <w:lvl w:ilvl="6">
      <w:start w:val="1"/>
      <w:numFmt w:val="decimal"/>
      <w:isLgl/>
      <w:lvlText w:val="%1.%2.%3.%4.%5.%6.%7."/>
      <w:lvlJc w:val="left"/>
      <w:pPr>
        <w:ind w:left="4963" w:hanging="709"/>
      </w:pPr>
      <w:rPr>
        <w:rFonts w:hint="default"/>
      </w:rPr>
    </w:lvl>
    <w:lvl w:ilvl="7">
      <w:start w:val="1"/>
      <w:numFmt w:val="lowerLetter"/>
      <w:isLgl/>
      <w:lvlText w:val="%1.%2.%3.%4.%5.%6.%7.%8."/>
      <w:lvlJc w:val="left"/>
      <w:pPr>
        <w:ind w:left="5672" w:hanging="709"/>
      </w:pPr>
      <w:rPr>
        <w:rFonts w:hint="default"/>
      </w:rPr>
    </w:lvl>
    <w:lvl w:ilvl="8">
      <w:start w:val="1"/>
      <w:numFmt w:val="lowerRoman"/>
      <w:isLgl/>
      <w:lvlText w:val="%1.%2.%3.%4.%5.%6.%7.%8.%9."/>
      <w:lvlJc w:val="right"/>
      <w:pPr>
        <w:ind w:left="6381" w:hanging="709"/>
      </w:pPr>
      <w:rPr>
        <w:rFonts w:hint="default"/>
      </w:rPr>
    </w:lvl>
  </w:abstractNum>
  <w:abstractNum w:abstractNumId="9" w15:restartNumberingAfterBreak="0">
    <w:nsid w:val="210317B9"/>
    <w:multiLevelType w:val="multilevel"/>
    <w:tmpl w:val="D64493A6"/>
    <w:lvl w:ilvl="0">
      <w:start w:val="1"/>
      <w:numFmt w:val="decimal"/>
      <w:pStyle w:val="ListParagraph"/>
      <w:lvlText w:val="%1."/>
      <w:lvlJc w:val="left"/>
      <w:pPr>
        <w:ind w:left="567" w:hanging="283"/>
      </w:pPr>
      <w:rPr>
        <w:rFonts w:ascii="Arial" w:hAnsi="Arial" w:cs="Arial" w:hint="default"/>
        <w:b w:val="0"/>
        <w:i w:val="0"/>
        <w:color w:val="auto"/>
        <w:sz w:val="22"/>
        <w:szCs w:val="22"/>
      </w:rPr>
    </w:lvl>
    <w:lvl w:ilvl="1">
      <w:start w:val="1"/>
      <w:numFmt w:val="decimal"/>
      <w:lvlText w:val="%1.%2."/>
      <w:lvlJc w:val="left"/>
      <w:pPr>
        <w:ind w:left="964" w:hanging="396"/>
      </w:pPr>
      <w:rPr>
        <w:rFonts w:ascii="Arial" w:hAnsi="Arial" w:cs="Arial" w:hint="default"/>
        <w:color w:val="auto"/>
        <w:sz w:val="22"/>
        <w:szCs w:val="22"/>
      </w:rPr>
    </w:lvl>
    <w:lvl w:ilvl="2">
      <w:start w:val="1"/>
      <w:numFmt w:val="decimal"/>
      <w:lvlText w:val="%1.%2.%3."/>
      <w:lvlJc w:val="left"/>
      <w:pPr>
        <w:ind w:left="1021" w:hanging="169"/>
      </w:pPr>
      <w:rPr>
        <w:rFonts w:hint="default"/>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0" w15:restartNumberingAfterBreak="0">
    <w:nsid w:val="21450B33"/>
    <w:multiLevelType w:val="multilevel"/>
    <w:tmpl w:val="DB0015A0"/>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23744672"/>
    <w:multiLevelType w:val="hybridMultilevel"/>
    <w:tmpl w:val="AB54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14578F"/>
    <w:multiLevelType w:val="multilevel"/>
    <w:tmpl w:val="9996A862"/>
    <w:styleLink w:val="StyleBulletedSymbolsymbolLeft063cmHanging063cm1"/>
    <w:lvl w:ilvl="0">
      <w:start w:val="1"/>
      <w:numFmt w:val="bullet"/>
      <w:lvlText w:val=""/>
      <w:lvlJc w:val="left"/>
      <w:pPr>
        <w:ind w:left="709" w:hanging="709"/>
      </w:pPr>
      <w:rPr>
        <w:rFonts w:ascii="Symbol" w:hAnsi="Symbol" w:hint="default"/>
        <w:color w:val="auto"/>
      </w:rPr>
    </w:lvl>
    <w:lvl w:ilvl="1">
      <w:start w:val="1"/>
      <w:numFmt w:val="bullet"/>
      <w:lvlText w:val="o"/>
      <w:lvlJc w:val="left"/>
      <w:pPr>
        <w:ind w:left="1418" w:hanging="709"/>
      </w:pPr>
      <w:rPr>
        <w:rFonts w:ascii="Courier New" w:hAnsi="Courier New" w:hint="default"/>
      </w:rPr>
    </w:lvl>
    <w:lvl w:ilvl="2">
      <w:start w:val="1"/>
      <w:numFmt w:val="bullet"/>
      <w:lvlText w:val=""/>
      <w:lvlJc w:val="left"/>
      <w:pPr>
        <w:ind w:left="2127" w:hanging="709"/>
      </w:pPr>
      <w:rPr>
        <w:rFonts w:ascii="Symbol" w:hAnsi="Symbol" w:hint="default"/>
        <w:color w:val="auto"/>
      </w:rPr>
    </w:lvl>
    <w:lvl w:ilvl="3">
      <w:start w:val="1"/>
      <w:numFmt w:val="bullet"/>
      <w:lvlText w:val="o"/>
      <w:lvlJc w:val="left"/>
      <w:pPr>
        <w:ind w:left="2836" w:hanging="709"/>
      </w:pPr>
      <w:rPr>
        <w:rFonts w:ascii="Courier New" w:hAnsi="Courier New" w:hint="default"/>
      </w:rPr>
    </w:lvl>
    <w:lvl w:ilvl="4">
      <w:start w:val="1"/>
      <w:numFmt w:val="bullet"/>
      <w:lvlText w:val=""/>
      <w:lvlJc w:val="left"/>
      <w:pPr>
        <w:ind w:left="3545" w:hanging="709"/>
      </w:pPr>
      <w:rPr>
        <w:rFonts w:ascii="Symbol" w:hAnsi="Symbol" w:hint="default"/>
        <w:color w:val="auto"/>
      </w:rPr>
    </w:lvl>
    <w:lvl w:ilvl="5">
      <w:start w:val="1"/>
      <w:numFmt w:val="bullet"/>
      <w:lvlText w:val="o"/>
      <w:lvlJc w:val="left"/>
      <w:pPr>
        <w:ind w:left="4254" w:hanging="709"/>
      </w:pPr>
      <w:rPr>
        <w:rFonts w:ascii="Courier New" w:hAnsi="Courier New" w:hint="default"/>
      </w:rPr>
    </w:lvl>
    <w:lvl w:ilvl="6">
      <w:start w:val="1"/>
      <w:numFmt w:val="bullet"/>
      <w:lvlText w:val=""/>
      <w:lvlJc w:val="left"/>
      <w:pPr>
        <w:ind w:left="4963" w:hanging="709"/>
      </w:pPr>
      <w:rPr>
        <w:rFonts w:ascii="Symbol" w:hAnsi="Symbol" w:hint="default"/>
      </w:rPr>
    </w:lvl>
    <w:lvl w:ilvl="7">
      <w:start w:val="1"/>
      <w:numFmt w:val="bullet"/>
      <w:lvlText w:val="o"/>
      <w:lvlJc w:val="left"/>
      <w:pPr>
        <w:ind w:left="5672" w:hanging="709"/>
      </w:pPr>
      <w:rPr>
        <w:rFonts w:ascii="Courier New" w:hAnsi="Courier New" w:hint="default"/>
      </w:rPr>
    </w:lvl>
    <w:lvl w:ilvl="8">
      <w:start w:val="1"/>
      <w:numFmt w:val="bullet"/>
      <w:lvlText w:val=""/>
      <w:lvlJc w:val="left"/>
      <w:pPr>
        <w:ind w:left="6381" w:hanging="709"/>
      </w:pPr>
      <w:rPr>
        <w:rFonts w:ascii="Symbol" w:hAnsi="Symbol" w:hint="default"/>
        <w:color w:val="auto"/>
      </w:rPr>
    </w:lvl>
  </w:abstractNum>
  <w:abstractNum w:abstractNumId="13" w15:restartNumberingAfterBreak="0">
    <w:nsid w:val="28173E70"/>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6B67F5"/>
    <w:multiLevelType w:val="multilevel"/>
    <w:tmpl w:val="EF120A6E"/>
    <w:styleLink w:val="StyleOutlinenumberedLeft0cmHanging125cm2"/>
    <w:lvl w:ilvl="0">
      <w:start w:val="1"/>
      <w:numFmt w:val="decimal"/>
      <w:lvlText w:val="%1."/>
      <w:lvlJc w:val="left"/>
      <w:pPr>
        <w:tabs>
          <w:tab w:val="num" w:pos="709"/>
        </w:tabs>
        <w:ind w:left="709" w:hanging="709"/>
      </w:pPr>
      <w:rPr>
        <w:rFonts w:hint="default"/>
        <w:color w:val="auto"/>
      </w:rPr>
    </w:lvl>
    <w:lvl w:ilvl="1">
      <w:start w:val="1"/>
      <w:numFmt w:val="lowerLetter"/>
      <w:isLgl/>
      <w:lvlText w:val="%1.%2."/>
      <w:lvlJc w:val="left"/>
      <w:pPr>
        <w:tabs>
          <w:tab w:val="num" w:pos="1418"/>
        </w:tabs>
        <w:ind w:left="1418" w:hanging="709"/>
      </w:pPr>
      <w:rPr>
        <w:rFonts w:hint="default"/>
      </w:rPr>
    </w:lvl>
    <w:lvl w:ilvl="2">
      <w:start w:val="1"/>
      <w:numFmt w:val="lowerRoman"/>
      <w:isLgl/>
      <w:lvlText w:val="%1.%2.%3."/>
      <w:lvlJc w:val="left"/>
      <w:pPr>
        <w:tabs>
          <w:tab w:val="num" w:pos="2126"/>
        </w:tabs>
        <w:ind w:left="2127" w:hanging="709"/>
      </w:pPr>
      <w:rPr>
        <w:rFonts w:hint="default"/>
      </w:rPr>
    </w:lvl>
    <w:lvl w:ilvl="3">
      <w:start w:val="1"/>
      <w:numFmt w:val="decimal"/>
      <w:isLgl/>
      <w:lvlText w:val="%1.%2.%3.%4."/>
      <w:lvlJc w:val="left"/>
      <w:pPr>
        <w:tabs>
          <w:tab w:val="num" w:pos="2835"/>
        </w:tabs>
        <w:ind w:left="2836" w:hanging="709"/>
      </w:pPr>
      <w:rPr>
        <w:rFonts w:hint="default"/>
      </w:rPr>
    </w:lvl>
    <w:lvl w:ilvl="4">
      <w:start w:val="1"/>
      <w:numFmt w:val="lowerLetter"/>
      <w:isLgl/>
      <w:lvlText w:val="%1.%2.%3.%4.%5."/>
      <w:lvlJc w:val="left"/>
      <w:pPr>
        <w:tabs>
          <w:tab w:val="num" w:pos="3544"/>
        </w:tabs>
        <w:ind w:left="3545" w:hanging="709"/>
      </w:pPr>
      <w:rPr>
        <w:rFonts w:hint="default"/>
      </w:rPr>
    </w:lvl>
    <w:lvl w:ilvl="5">
      <w:start w:val="1"/>
      <w:numFmt w:val="lowerRoman"/>
      <w:isLgl/>
      <w:lvlText w:val="%1.%2.%3.%4.%5.%6."/>
      <w:lvlJc w:val="left"/>
      <w:pPr>
        <w:tabs>
          <w:tab w:val="num" w:pos="4253"/>
        </w:tabs>
        <w:ind w:left="4254" w:hanging="709"/>
      </w:pPr>
      <w:rPr>
        <w:rFonts w:hint="default"/>
      </w:rPr>
    </w:lvl>
    <w:lvl w:ilvl="6">
      <w:start w:val="1"/>
      <w:numFmt w:val="decimal"/>
      <w:isLgl/>
      <w:lvlText w:val="%1.%2.%3.%4.%5.%6.%7."/>
      <w:lvlJc w:val="left"/>
      <w:pPr>
        <w:tabs>
          <w:tab w:val="num" w:pos="4961"/>
        </w:tabs>
        <w:ind w:left="4963" w:hanging="709"/>
      </w:pPr>
      <w:rPr>
        <w:rFonts w:hint="default"/>
      </w:rPr>
    </w:lvl>
    <w:lvl w:ilvl="7">
      <w:start w:val="1"/>
      <w:numFmt w:val="lowerLetter"/>
      <w:isLgl/>
      <w:lvlText w:val="%1.%2.%3.%4.%5.%6.%7.%8."/>
      <w:lvlJc w:val="left"/>
      <w:pPr>
        <w:tabs>
          <w:tab w:val="num" w:pos="5670"/>
        </w:tabs>
        <w:ind w:left="5672" w:hanging="709"/>
      </w:pPr>
      <w:rPr>
        <w:rFonts w:hint="default"/>
      </w:rPr>
    </w:lvl>
    <w:lvl w:ilvl="8">
      <w:start w:val="1"/>
      <w:numFmt w:val="lowerRoman"/>
      <w:isLgl/>
      <w:lvlText w:val="%1.%2.%3.%4.%5.%6.%7.%8.%9."/>
      <w:lvlJc w:val="left"/>
      <w:pPr>
        <w:tabs>
          <w:tab w:val="num" w:pos="6379"/>
        </w:tabs>
        <w:ind w:left="6381" w:hanging="709"/>
      </w:pPr>
      <w:rPr>
        <w:rFonts w:hint="default"/>
      </w:rPr>
    </w:lvl>
  </w:abstractNum>
  <w:abstractNum w:abstractNumId="15" w15:restartNumberingAfterBreak="0">
    <w:nsid w:val="30E33299"/>
    <w:multiLevelType w:val="multilevel"/>
    <w:tmpl w:val="62DC00EE"/>
    <w:styleLink w:val="StyleNumberedLeft063cmHanging063cm2"/>
    <w:lvl w:ilvl="0">
      <w:start w:val="1"/>
      <w:numFmt w:val="decimal"/>
      <w:isLgl/>
      <w:lvlText w:val="%1."/>
      <w:lvlJc w:val="left"/>
      <w:pPr>
        <w:ind w:left="709" w:hanging="709"/>
      </w:pPr>
      <w:rPr>
        <w:rFonts w:hint="default"/>
        <w:color w:val="auto"/>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abstractNum w:abstractNumId="16" w15:restartNumberingAfterBreak="0">
    <w:nsid w:val="3A0B6A9A"/>
    <w:multiLevelType w:val="multilevel"/>
    <w:tmpl w:val="8366618E"/>
    <w:styleLink w:val="MLlistbulliststyle"/>
    <w:lvl w:ilvl="0">
      <w:start w:val="1"/>
      <w:numFmt w:val="bullet"/>
      <w:lvlText w:val=""/>
      <w:lvlJc w:val="left"/>
      <w:pPr>
        <w:ind w:left="709" w:hanging="709"/>
      </w:pPr>
      <w:rPr>
        <w:rFonts w:ascii="Symbol" w:hAnsi="Symbol" w:hint="default"/>
      </w:rPr>
    </w:lvl>
    <w:lvl w:ilvl="1">
      <w:start w:val="1"/>
      <w:numFmt w:val="bullet"/>
      <w:lvlText w:val="○"/>
      <w:lvlJc w:val="left"/>
      <w:pPr>
        <w:ind w:left="1418" w:hanging="709"/>
      </w:pPr>
      <w:rPr>
        <w:rFonts w:ascii="Calibri" w:hAnsi="Calibri" w:hint="default"/>
      </w:rPr>
    </w:lvl>
    <w:lvl w:ilvl="2">
      <w:start w:val="1"/>
      <w:numFmt w:val="bullet"/>
      <w:lvlText w:val=""/>
      <w:lvlJc w:val="left"/>
      <w:pPr>
        <w:ind w:left="2127" w:hanging="709"/>
      </w:pPr>
      <w:rPr>
        <w:rFonts w:ascii="Symbol" w:hAnsi="Symbol" w:hint="default"/>
      </w:rPr>
    </w:lvl>
    <w:lvl w:ilvl="3">
      <w:start w:val="1"/>
      <w:numFmt w:val="bullet"/>
      <w:lvlText w:val="○"/>
      <w:lvlJc w:val="left"/>
      <w:pPr>
        <w:ind w:left="2836" w:hanging="709"/>
      </w:pPr>
      <w:rPr>
        <w:rFonts w:ascii="Calibri" w:hAnsi="Calibri" w:hint="default"/>
      </w:rPr>
    </w:lvl>
    <w:lvl w:ilvl="4">
      <w:start w:val="1"/>
      <w:numFmt w:val="bullet"/>
      <w:lvlText w:val=""/>
      <w:lvlJc w:val="left"/>
      <w:pPr>
        <w:ind w:left="3545" w:hanging="709"/>
      </w:pPr>
      <w:rPr>
        <w:rFonts w:ascii="Symbol" w:hAnsi="Symbol" w:hint="default"/>
      </w:rPr>
    </w:lvl>
    <w:lvl w:ilvl="5">
      <w:start w:val="1"/>
      <w:numFmt w:val="bullet"/>
      <w:lvlText w:val="○"/>
      <w:lvlJc w:val="left"/>
      <w:pPr>
        <w:ind w:left="4254" w:hanging="709"/>
      </w:pPr>
      <w:rPr>
        <w:rFonts w:ascii="Calibri" w:hAnsi="Calibri" w:hint="default"/>
      </w:rPr>
    </w:lvl>
    <w:lvl w:ilvl="6">
      <w:start w:val="1"/>
      <w:numFmt w:val="bullet"/>
      <w:lvlText w:val=""/>
      <w:lvlJc w:val="left"/>
      <w:pPr>
        <w:ind w:left="4963" w:hanging="709"/>
      </w:pPr>
      <w:rPr>
        <w:rFonts w:ascii="Symbol" w:hAnsi="Symbol" w:hint="default"/>
      </w:rPr>
    </w:lvl>
    <w:lvl w:ilvl="7">
      <w:start w:val="1"/>
      <w:numFmt w:val="bullet"/>
      <w:lvlText w:val="○"/>
      <w:lvlJc w:val="left"/>
      <w:pPr>
        <w:ind w:left="5672" w:hanging="709"/>
      </w:pPr>
      <w:rPr>
        <w:rFonts w:ascii="Calibri" w:hAnsi="Calibri" w:hint="default"/>
      </w:rPr>
    </w:lvl>
    <w:lvl w:ilvl="8">
      <w:start w:val="1"/>
      <w:numFmt w:val="bullet"/>
      <w:lvlText w:val=""/>
      <w:lvlJc w:val="left"/>
      <w:pPr>
        <w:ind w:left="6381" w:hanging="709"/>
      </w:pPr>
      <w:rPr>
        <w:rFonts w:ascii="Symbol" w:hAnsi="Symbol" w:hint="default"/>
      </w:rPr>
    </w:lvl>
  </w:abstractNum>
  <w:abstractNum w:abstractNumId="17" w15:restartNumberingAfterBreak="0">
    <w:nsid w:val="3FE31DE4"/>
    <w:multiLevelType w:val="multilevel"/>
    <w:tmpl w:val="EF120A6E"/>
    <w:styleLink w:val="StyleOutlinenumberedLeft0cmHanging125cm3"/>
    <w:lvl w:ilvl="0">
      <w:start w:val="1"/>
      <w:numFmt w:val="decimal"/>
      <w:lvlText w:val="%1."/>
      <w:lvlJc w:val="left"/>
      <w:pPr>
        <w:tabs>
          <w:tab w:val="num" w:pos="709"/>
        </w:tabs>
        <w:ind w:left="709" w:hanging="709"/>
      </w:pPr>
      <w:rPr>
        <w:color w:val="auto"/>
      </w:rPr>
    </w:lvl>
    <w:lvl w:ilvl="1">
      <w:start w:val="1"/>
      <w:numFmt w:val="lowerLetter"/>
      <w:isLgl/>
      <w:lvlText w:val="%1.%2."/>
      <w:lvlJc w:val="left"/>
      <w:pPr>
        <w:tabs>
          <w:tab w:val="num" w:pos="1418"/>
        </w:tabs>
        <w:ind w:left="1418" w:hanging="709"/>
      </w:pPr>
      <w:rPr>
        <w:rFonts w:hint="default"/>
      </w:rPr>
    </w:lvl>
    <w:lvl w:ilvl="2">
      <w:start w:val="1"/>
      <w:numFmt w:val="lowerRoman"/>
      <w:isLgl/>
      <w:lvlText w:val="%1.%2.%3."/>
      <w:lvlJc w:val="left"/>
      <w:pPr>
        <w:tabs>
          <w:tab w:val="num" w:pos="2126"/>
        </w:tabs>
        <w:ind w:left="2127" w:hanging="709"/>
      </w:pPr>
      <w:rPr>
        <w:rFonts w:hint="default"/>
      </w:rPr>
    </w:lvl>
    <w:lvl w:ilvl="3">
      <w:start w:val="1"/>
      <w:numFmt w:val="decimal"/>
      <w:isLgl/>
      <w:lvlText w:val="%1.%2.%3.%4."/>
      <w:lvlJc w:val="left"/>
      <w:pPr>
        <w:tabs>
          <w:tab w:val="num" w:pos="2835"/>
        </w:tabs>
        <w:ind w:left="2836" w:hanging="709"/>
      </w:pPr>
      <w:rPr>
        <w:rFonts w:hint="default"/>
      </w:rPr>
    </w:lvl>
    <w:lvl w:ilvl="4">
      <w:start w:val="1"/>
      <w:numFmt w:val="lowerLetter"/>
      <w:isLgl/>
      <w:lvlText w:val="%1.%2.%3.%4.%5."/>
      <w:lvlJc w:val="left"/>
      <w:pPr>
        <w:tabs>
          <w:tab w:val="num" w:pos="3544"/>
        </w:tabs>
        <w:ind w:left="3545" w:hanging="709"/>
      </w:pPr>
      <w:rPr>
        <w:rFonts w:hint="default"/>
      </w:rPr>
    </w:lvl>
    <w:lvl w:ilvl="5">
      <w:start w:val="1"/>
      <w:numFmt w:val="lowerRoman"/>
      <w:isLgl/>
      <w:lvlText w:val="%1.%2.%3.%4.%5.%6."/>
      <w:lvlJc w:val="left"/>
      <w:pPr>
        <w:tabs>
          <w:tab w:val="num" w:pos="4253"/>
        </w:tabs>
        <w:ind w:left="4254" w:hanging="709"/>
      </w:pPr>
      <w:rPr>
        <w:rFonts w:hint="default"/>
      </w:rPr>
    </w:lvl>
    <w:lvl w:ilvl="6">
      <w:start w:val="1"/>
      <w:numFmt w:val="decimal"/>
      <w:isLgl/>
      <w:lvlText w:val="%1.%2.%3.%4.%5.%6.%7."/>
      <w:lvlJc w:val="left"/>
      <w:pPr>
        <w:tabs>
          <w:tab w:val="num" w:pos="4961"/>
        </w:tabs>
        <w:ind w:left="4963" w:hanging="709"/>
      </w:pPr>
      <w:rPr>
        <w:rFonts w:hint="default"/>
      </w:rPr>
    </w:lvl>
    <w:lvl w:ilvl="7">
      <w:start w:val="1"/>
      <w:numFmt w:val="lowerLetter"/>
      <w:isLgl/>
      <w:lvlText w:val="%1.%2.%3.%4.%5.%6.%7.%8."/>
      <w:lvlJc w:val="left"/>
      <w:pPr>
        <w:tabs>
          <w:tab w:val="num" w:pos="5670"/>
        </w:tabs>
        <w:ind w:left="5672" w:hanging="709"/>
      </w:pPr>
      <w:rPr>
        <w:rFonts w:hint="default"/>
      </w:rPr>
    </w:lvl>
    <w:lvl w:ilvl="8">
      <w:start w:val="1"/>
      <w:numFmt w:val="lowerRoman"/>
      <w:isLgl/>
      <w:lvlText w:val="%1.%2.%3.%4.%5.%6.%7.%8.%9."/>
      <w:lvlJc w:val="left"/>
      <w:pPr>
        <w:tabs>
          <w:tab w:val="num" w:pos="6379"/>
        </w:tabs>
        <w:ind w:left="6381" w:hanging="709"/>
      </w:pPr>
      <w:rPr>
        <w:rFonts w:hint="default"/>
      </w:rPr>
    </w:lvl>
  </w:abstractNum>
  <w:abstractNum w:abstractNumId="18" w15:restartNumberingAfterBreak="0">
    <w:nsid w:val="418960F9"/>
    <w:multiLevelType w:val="hybridMultilevel"/>
    <w:tmpl w:val="1B9C8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C97ED3"/>
    <w:multiLevelType w:val="multilevel"/>
    <w:tmpl w:val="13E46A30"/>
    <w:styleLink w:val="MLlistlegliststyle"/>
    <w:lvl w:ilvl="0">
      <w:start w:val="1"/>
      <w:numFmt w:val="none"/>
      <w:lvlText w:val=""/>
      <w:lvlJc w:val="left"/>
      <w:pPr>
        <w:ind w:left="709" w:firstLine="0"/>
      </w:pPr>
      <w:rPr>
        <w:rFonts w:hint="default"/>
      </w:rPr>
    </w:lvl>
    <w:lvl w:ilvl="1">
      <w:start w:val="1"/>
      <w:numFmt w:val="none"/>
      <w:lvlText w:val=""/>
      <w:lvlJc w:val="left"/>
      <w:pPr>
        <w:ind w:left="1418" w:firstLine="0"/>
      </w:pPr>
      <w:rPr>
        <w:rFonts w:hint="default"/>
      </w:rPr>
    </w:lvl>
    <w:lvl w:ilvl="2">
      <w:start w:val="1"/>
      <w:numFmt w:val="none"/>
      <w:lvlText w:val=""/>
      <w:lvlJc w:val="left"/>
      <w:pPr>
        <w:ind w:left="2127" w:firstLine="0"/>
      </w:pPr>
      <w:rPr>
        <w:rFonts w:hint="default"/>
      </w:rPr>
    </w:lvl>
    <w:lvl w:ilvl="3">
      <w:start w:val="1"/>
      <w:numFmt w:val="none"/>
      <w:lvlText w:val=""/>
      <w:lvlJc w:val="left"/>
      <w:pPr>
        <w:ind w:left="2836" w:firstLine="0"/>
      </w:pPr>
      <w:rPr>
        <w:rFonts w:hint="default"/>
      </w:rPr>
    </w:lvl>
    <w:lvl w:ilvl="4">
      <w:start w:val="1"/>
      <w:numFmt w:val="none"/>
      <w:lvlText w:val=""/>
      <w:lvlJc w:val="left"/>
      <w:pPr>
        <w:ind w:left="3545" w:firstLine="0"/>
      </w:pPr>
      <w:rPr>
        <w:rFonts w:hint="default"/>
      </w:rPr>
    </w:lvl>
    <w:lvl w:ilvl="5">
      <w:start w:val="1"/>
      <w:numFmt w:val="none"/>
      <w:lvlText w:val=""/>
      <w:lvlJc w:val="left"/>
      <w:pPr>
        <w:ind w:left="4254" w:firstLine="0"/>
      </w:pPr>
      <w:rPr>
        <w:rFonts w:hint="default"/>
      </w:rPr>
    </w:lvl>
    <w:lvl w:ilvl="6">
      <w:start w:val="1"/>
      <w:numFmt w:val="none"/>
      <w:lvlText w:val=""/>
      <w:lvlJc w:val="left"/>
      <w:pPr>
        <w:ind w:left="4963" w:firstLine="0"/>
      </w:pPr>
      <w:rPr>
        <w:rFonts w:hint="default"/>
      </w:rPr>
    </w:lvl>
    <w:lvl w:ilvl="7">
      <w:start w:val="1"/>
      <w:numFmt w:val="none"/>
      <w:lvlText w:val=""/>
      <w:lvlJc w:val="left"/>
      <w:pPr>
        <w:ind w:left="5672" w:firstLine="0"/>
      </w:pPr>
      <w:rPr>
        <w:rFonts w:hint="default"/>
      </w:rPr>
    </w:lvl>
    <w:lvl w:ilvl="8">
      <w:start w:val="1"/>
      <w:numFmt w:val="none"/>
      <w:lvlText w:val=""/>
      <w:lvlJc w:val="left"/>
      <w:pPr>
        <w:ind w:left="6381" w:firstLine="0"/>
      </w:pPr>
      <w:rPr>
        <w:rFonts w:hint="default"/>
      </w:rPr>
    </w:lvl>
  </w:abstractNum>
  <w:abstractNum w:abstractNumId="20" w15:restartNumberingAfterBreak="0">
    <w:nsid w:val="543119D5"/>
    <w:multiLevelType w:val="multilevel"/>
    <w:tmpl w:val="192E69BA"/>
    <w:styleLink w:val="StyleOutlinenumberedLeft0cmHanging125cm1"/>
    <w:lvl w:ilvl="0">
      <w:start w:val="1"/>
      <w:numFmt w:val="decimal"/>
      <w:lvlText w:val="%1."/>
      <w:lvlJc w:val="left"/>
      <w:pPr>
        <w:tabs>
          <w:tab w:val="num" w:pos="709"/>
        </w:tabs>
        <w:ind w:left="709" w:hanging="709"/>
      </w:pPr>
      <w:rPr>
        <w:rFonts w:hint="default"/>
        <w:color w:val="auto"/>
      </w:rPr>
    </w:lvl>
    <w:lvl w:ilvl="1">
      <w:start w:val="1"/>
      <w:numFmt w:val="lowerLetter"/>
      <w:isLgl/>
      <w:lvlText w:val="%1.%2."/>
      <w:lvlJc w:val="left"/>
      <w:pPr>
        <w:tabs>
          <w:tab w:val="num" w:pos="1418"/>
        </w:tabs>
        <w:ind w:left="1418" w:hanging="709"/>
      </w:pPr>
      <w:rPr>
        <w:rFonts w:hint="default"/>
      </w:rPr>
    </w:lvl>
    <w:lvl w:ilvl="2">
      <w:start w:val="1"/>
      <w:numFmt w:val="lowerRoman"/>
      <w:isLgl/>
      <w:lvlText w:val="%1.%2.%3."/>
      <w:lvlJc w:val="right"/>
      <w:pPr>
        <w:tabs>
          <w:tab w:val="num" w:pos="2126"/>
        </w:tabs>
        <w:ind w:left="2127" w:hanging="709"/>
      </w:pPr>
      <w:rPr>
        <w:rFonts w:hint="default"/>
      </w:rPr>
    </w:lvl>
    <w:lvl w:ilvl="3">
      <w:start w:val="1"/>
      <w:numFmt w:val="decimal"/>
      <w:isLgl/>
      <w:lvlText w:val="%1.%2.%3.%4."/>
      <w:lvlJc w:val="left"/>
      <w:pPr>
        <w:tabs>
          <w:tab w:val="num" w:pos="2835"/>
        </w:tabs>
        <w:ind w:left="2836" w:hanging="709"/>
      </w:pPr>
      <w:rPr>
        <w:rFonts w:hint="default"/>
      </w:rPr>
    </w:lvl>
    <w:lvl w:ilvl="4">
      <w:start w:val="1"/>
      <w:numFmt w:val="lowerLetter"/>
      <w:isLgl/>
      <w:lvlText w:val="%1.%2.%3.%4.%5."/>
      <w:lvlJc w:val="left"/>
      <w:pPr>
        <w:tabs>
          <w:tab w:val="num" w:pos="3544"/>
        </w:tabs>
        <w:ind w:left="3545" w:hanging="709"/>
      </w:pPr>
      <w:rPr>
        <w:rFonts w:hint="default"/>
      </w:rPr>
    </w:lvl>
    <w:lvl w:ilvl="5">
      <w:start w:val="1"/>
      <w:numFmt w:val="lowerRoman"/>
      <w:isLgl/>
      <w:lvlText w:val="%1.%2.%3.%4.%5.%6."/>
      <w:lvlJc w:val="right"/>
      <w:pPr>
        <w:tabs>
          <w:tab w:val="num" w:pos="4253"/>
        </w:tabs>
        <w:ind w:left="4254" w:hanging="709"/>
      </w:pPr>
      <w:rPr>
        <w:rFonts w:hint="default"/>
      </w:rPr>
    </w:lvl>
    <w:lvl w:ilvl="6">
      <w:start w:val="1"/>
      <w:numFmt w:val="decimal"/>
      <w:isLgl/>
      <w:lvlText w:val="%1.%2.%3.%4.%5.%6.%7."/>
      <w:lvlJc w:val="left"/>
      <w:pPr>
        <w:tabs>
          <w:tab w:val="num" w:pos="4961"/>
        </w:tabs>
        <w:ind w:left="4963" w:hanging="709"/>
      </w:pPr>
      <w:rPr>
        <w:rFonts w:hint="default"/>
      </w:rPr>
    </w:lvl>
    <w:lvl w:ilvl="7">
      <w:start w:val="1"/>
      <w:numFmt w:val="lowerLetter"/>
      <w:isLgl/>
      <w:lvlText w:val="%1.%2.%3.%4.%5.%6.%7.%8."/>
      <w:lvlJc w:val="left"/>
      <w:pPr>
        <w:tabs>
          <w:tab w:val="num" w:pos="5670"/>
        </w:tabs>
        <w:ind w:left="5672" w:hanging="709"/>
      </w:pPr>
      <w:rPr>
        <w:rFonts w:hint="default"/>
      </w:rPr>
    </w:lvl>
    <w:lvl w:ilvl="8">
      <w:start w:val="1"/>
      <w:numFmt w:val="lowerRoman"/>
      <w:isLgl/>
      <w:lvlText w:val="%1.%2.%3.%4.%5.%6.%7.%8.%9."/>
      <w:lvlJc w:val="right"/>
      <w:pPr>
        <w:tabs>
          <w:tab w:val="num" w:pos="6379"/>
        </w:tabs>
        <w:ind w:left="6381" w:hanging="709"/>
      </w:pPr>
      <w:rPr>
        <w:rFonts w:hint="default"/>
      </w:rPr>
    </w:lvl>
  </w:abstractNum>
  <w:abstractNum w:abstractNumId="21" w15:restartNumberingAfterBreak="0">
    <w:nsid w:val="580756E3"/>
    <w:multiLevelType w:val="hybridMultilevel"/>
    <w:tmpl w:val="B3F2ED86"/>
    <w:lvl w:ilvl="0" w:tplc="0C090001">
      <w:start w:val="1"/>
      <w:numFmt w:val="bullet"/>
      <w:lvlText w:val=""/>
      <w:lvlJc w:val="left"/>
      <w:pPr>
        <w:ind w:left="720" w:hanging="360"/>
      </w:pPr>
      <w:rPr>
        <w:rFonts w:ascii="Symbol" w:hAnsi="Symbol" w:hint="default"/>
      </w:rPr>
    </w:lvl>
    <w:lvl w:ilvl="1" w:tplc="1604D54C">
      <w:numFmt w:val="bullet"/>
      <w:lvlText w:val="•"/>
      <w:lvlJc w:val="left"/>
      <w:pPr>
        <w:ind w:left="1800" w:hanging="720"/>
      </w:pPr>
      <w:rPr>
        <w:rFonts w:ascii="Aptos" w:eastAsiaTheme="minorHAnsi" w:hAnsi="Aptos"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C91751"/>
    <w:multiLevelType w:val="hybridMultilevel"/>
    <w:tmpl w:val="637C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4755AF"/>
    <w:multiLevelType w:val="multilevel"/>
    <w:tmpl w:val="854AEC32"/>
    <w:styleLink w:val="StyleNumberedLeft063cmHanging063cm3"/>
    <w:lvl w:ilvl="0">
      <w:start w:val="1"/>
      <w:numFmt w:val="decimal"/>
      <w:lvlText w:val="%1."/>
      <w:lvlJc w:val="left"/>
      <w:pPr>
        <w:tabs>
          <w:tab w:val="num" w:pos="709"/>
        </w:tabs>
        <w:ind w:left="709" w:hanging="709"/>
      </w:pPr>
      <w:rPr>
        <w:rFonts w:hint="default"/>
        <w:color w:val="auto"/>
      </w:rPr>
    </w:lvl>
    <w:lvl w:ilvl="1">
      <w:start w:val="1"/>
      <w:numFmt w:val="lowerLetter"/>
      <w:lvlText w:val="%2."/>
      <w:lvlJc w:val="left"/>
      <w:pPr>
        <w:tabs>
          <w:tab w:val="num" w:pos="1418"/>
        </w:tabs>
        <w:ind w:left="1418" w:hanging="709"/>
      </w:pPr>
      <w:rPr>
        <w:rFonts w:hint="default"/>
      </w:rPr>
    </w:lvl>
    <w:lvl w:ilvl="2">
      <w:start w:val="1"/>
      <w:numFmt w:val="lowerRoman"/>
      <w:lvlText w:val="%3."/>
      <w:lvlJc w:val="right"/>
      <w:pPr>
        <w:tabs>
          <w:tab w:val="num" w:pos="2126"/>
        </w:tabs>
        <w:ind w:left="2127" w:hanging="709"/>
      </w:pPr>
      <w:rPr>
        <w:rFonts w:hint="default"/>
      </w:rPr>
    </w:lvl>
    <w:lvl w:ilvl="3">
      <w:start w:val="1"/>
      <w:numFmt w:val="decimal"/>
      <w:lvlText w:val="%4."/>
      <w:lvlJc w:val="left"/>
      <w:pPr>
        <w:tabs>
          <w:tab w:val="num" w:pos="2835"/>
        </w:tabs>
        <w:ind w:left="2836" w:hanging="709"/>
      </w:pPr>
      <w:rPr>
        <w:rFonts w:hint="default"/>
      </w:rPr>
    </w:lvl>
    <w:lvl w:ilvl="4">
      <w:start w:val="1"/>
      <w:numFmt w:val="lowerLetter"/>
      <w:lvlText w:val="%5."/>
      <w:lvlJc w:val="left"/>
      <w:pPr>
        <w:tabs>
          <w:tab w:val="num" w:pos="3544"/>
        </w:tabs>
        <w:ind w:left="3545" w:hanging="709"/>
      </w:pPr>
      <w:rPr>
        <w:rFonts w:hint="default"/>
      </w:rPr>
    </w:lvl>
    <w:lvl w:ilvl="5">
      <w:start w:val="1"/>
      <w:numFmt w:val="lowerRoman"/>
      <w:lvlText w:val="%6."/>
      <w:lvlJc w:val="right"/>
      <w:pPr>
        <w:tabs>
          <w:tab w:val="num" w:pos="4253"/>
        </w:tabs>
        <w:ind w:left="4254" w:hanging="709"/>
      </w:pPr>
      <w:rPr>
        <w:rFonts w:hint="default"/>
      </w:rPr>
    </w:lvl>
    <w:lvl w:ilvl="6">
      <w:start w:val="1"/>
      <w:numFmt w:val="decimal"/>
      <w:lvlText w:val="%7."/>
      <w:lvlJc w:val="left"/>
      <w:pPr>
        <w:tabs>
          <w:tab w:val="num" w:pos="4961"/>
        </w:tabs>
        <w:ind w:left="4963" w:hanging="709"/>
      </w:pPr>
      <w:rPr>
        <w:rFonts w:hint="default"/>
      </w:rPr>
    </w:lvl>
    <w:lvl w:ilvl="7">
      <w:start w:val="1"/>
      <w:numFmt w:val="lowerLetter"/>
      <w:lvlText w:val="%8."/>
      <w:lvlJc w:val="left"/>
      <w:pPr>
        <w:tabs>
          <w:tab w:val="num" w:pos="5670"/>
        </w:tabs>
        <w:ind w:left="5672" w:hanging="709"/>
      </w:pPr>
      <w:rPr>
        <w:rFonts w:hint="default"/>
      </w:rPr>
    </w:lvl>
    <w:lvl w:ilvl="8">
      <w:start w:val="1"/>
      <w:numFmt w:val="lowerRoman"/>
      <w:lvlText w:val="%9."/>
      <w:lvlJc w:val="right"/>
      <w:pPr>
        <w:tabs>
          <w:tab w:val="num" w:pos="6379"/>
        </w:tabs>
        <w:ind w:left="6381" w:hanging="709"/>
      </w:pPr>
      <w:rPr>
        <w:rFonts w:hint="default"/>
      </w:rPr>
    </w:lvl>
  </w:abstractNum>
  <w:abstractNum w:abstractNumId="24" w15:restartNumberingAfterBreak="0">
    <w:nsid w:val="643A4AFD"/>
    <w:multiLevelType w:val="multilevel"/>
    <w:tmpl w:val="C4384C10"/>
    <w:styleLink w:val="StyleOutlinenumberedLeft0cmHanging125cm"/>
    <w:lvl w:ilvl="0">
      <w:start w:val="1"/>
      <w:numFmt w:val="decimal"/>
      <w:lvlText w:val="%1."/>
      <w:lvlJc w:val="left"/>
      <w:pPr>
        <w:tabs>
          <w:tab w:val="num" w:pos="709"/>
        </w:tabs>
        <w:ind w:left="709" w:hanging="709"/>
      </w:pPr>
      <w:rPr>
        <w:rFonts w:hint="default"/>
        <w:color w:val="auto"/>
      </w:rPr>
    </w:lvl>
    <w:lvl w:ilvl="1">
      <w:start w:val="1"/>
      <w:numFmt w:val="lowerLetter"/>
      <w:isLgl/>
      <w:lvlText w:val="%2."/>
      <w:lvlJc w:val="left"/>
      <w:pPr>
        <w:tabs>
          <w:tab w:val="num" w:pos="1418"/>
        </w:tabs>
        <w:ind w:left="1418" w:hanging="709"/>
      </w:pPr>
      <w:rPr>
        <w:rFonts w:hint="default"/>
      </w:rPr>
    </w:lvl>
    <w:lvl w:ilvl="2">
      <w:start w:val="1"/>
      <w:numFmt w:val="lowerRoman"/>
      <w:isLgl/>
      <w:lvlText w:val="%3."/>
      <w:lvlJc w:val="right"/>
      <w:pPr>
        <w:tabs>
          <w:tab w:val="num" w:pos="2126"/>
        </w:tabs>
        <w:ind w:left="2127" w:hanging="709"/>
      </w:pPr>
      <w:rPr>
        <w:rFonts w:hint="default"/>
      </w:rPr>
    </w:lvl>
    <w:lvl w:ilvl="3">
      <w:start w:val="1"/>
      <w:numFmt w:val="decimal"/>
      <w:isLgl/>
      <w:lvlText w:val="%4."/>
      <w:lvlJc w:val="left"/>
      <w:pPr>
        <w:tabs>
          <w:tab w:val="num" w:pos="2835"/>
        </w:tabs>
        <w:ind w:left="2836" w:hanging="709"/>
      </w:pPr>
      <w:rPr>
        <w:rFonts w:hint="default"/>
      </w:rPr>
    </w:lvl>
    <w:lvl w:ilvl="4">
      <w:start w:val="1"/>
      <w:numFmt w:val="lowerLetter"/>
      <w:isLgl/>
      <w:lvlText w:val="%5."/>
      <w:lvlJc w:val="left"/>
      <w:pPr>
        <w:tabs>
          <w:tab w:val="num" w:pos="3544"/>
        </w:tabs>
        <w:ind w:left="3545" w:hanging="709"/>
      </w:pPr>
      <w:rPr>
        <w:rFonts w:hint="default"/>
      </w:rPr>
    </w:lvl>
    <w:lvl w:ilvl="5">
      <w:start w:val="1"/>
      <w:numFmt w:val="lowerRoman"/>
      <w:isLgl/>
      <w:lvlText w:val="%6."/>
      <w:lvlJc w:val="right"/>
      <w:pPr>
        <w:tabs>
          <w:tab w:val="num" w:pos="4253"/>
        </w:tabs>
        <w:ind w:left="4254" w:hanging="709"/>
      </w:pPr>
      <w:rPr>
        <w:rFonts w:hint="default"/>
      </w:rPr>
    </w:lvl>
    <w:lvl w:ilvl="6">
      <w:start w:val="1"/>
      <w:numFmt w:val="decimal"/>
      <w:isLgl/>
      <w:lvlText w:val="%7."/>
      <w:lvlJc w:val="left"/>
      <w:pPr>
        <w:tabs>
          <w:tab w:val="num" w:pos="4961"/>
        </w:tabs>
        <w:ind w:left="4963" w:hanging="709"/>
      </w:pPr>
      <w:rPr>
        <w:rFonts w:hint="default"/>
      </w:rPr>
    </w:lvl>
    <w:lvl w:ilvl="7">
      <w:start w:val="1"/>
      <w:numFmt w:val="lowerLetter"/>
      <w:isLgl/>
      <w:lvlText w:val="%8."/>
      <w:lvlJc w:val="left"/>
      <w:pPr>
        <w:tabs>
          <w:tab w:val="num" w:pos="5670"/>
        </w:tabs>
        <w:ind w:left="5672" w:hanging="709"/>
      </w:pPr>
      <w:rPr>
        <w:rFonts w:hint="default"/>
      </w:rPr>
    </w:lvl>
    <w:lvl w:ilvl="8">
      <w:start w:val="1"/>
      <w:numFmt w:val="lowerRoman"/>
      <w:isLgl/>
      <w:lvlText w:val="%9."/>
      <w:lvlJc w:val="right"/>
      <w:pPr>
        <w:tabs>
          <w:tab w:val="num" w:pos="6379"/>
        </w:tabs>
        <w:ind w:left="6381" w:hanging="709"/>
      </w:pPr>
      <w:rPr>
        <w:rFonts w:hint="default"/>
      </w:rPr>
    </w:lvl>
  </w:abstractNum>
  <w:abstractNum w:abstractNumId="25" w15:restartNumberingAfterBreak="0">
    <w:nsid w:val="65D0374A"/>
    <w:multiLevelType w:val="multilevel"/>
    <w:tmpl w:val="5888EDB2"/>
    <w:styleLink w:val="MLlistnumliststyle"/>
    <w:lvl w:ilvl="0">
      <w:start w:val="1"/>
      <w:numFmt w:val="decimal"/>
      <w:lvlText w:val="%1."/>
      <w:lvlJc w:val="left"/>
      <w:pPr>
        <w:ind w:left="709" w:hanging="709"/>
      </w:pPr>
      <w:rPr>
        <w:rFonts w:hint="default"/>
      </w:rPr>
    </w:lvl>
    <w:lvl w:ilvl="1">
      <w:start w:val="1"/>
      <w:numFmt w:val="lowerLetter"/>
      <w:isLgl/>
      <w:lvlText w:val="%1.%2."/>
      <w:lvlJc w:val="left"/>
      <w:pPr>
        <w:ind w:left="1418" w:hanging="709"/>
      </w:pPr>
      <w:rPr>
        <w:rFonts w:hint="default"/>
      </w:rPr>
    </w:lvl>
    <w:lvl w:ilvl="2">
      <w:start w:val="1"/>
      <w:numFmt w:val="lowerRoman"/>
      <w:isLgl/>
      <w:lvlText w:val="%1.%2.%3."/>
      <w:lvlJc w:val="left"/>
      <w:pPr>
        <w:ind w:left="2127" w:hanging="709"/>
      </w:pPr>
      <w:rPr>
        <w:rFonts w:hint="default"/>
      </w:rPr>
    </w:lvl>
    <w:lvl w:ilvl="3">
      <w:start w:val="1"/>
      <w:numFmt w:val="decimal"/>
      <w:isLgl/>
      <w:lvlText w:val="%1.%2.%3.%4."/>
      <w:lvlJc w:val="left"/>
      <w:pPr>
        <w:ind w:left="2836" w:hanging="709"/>
      </w:pPr>
      <w:rPr>
        <w:rFonts w:hint="default"/>
      </w:rPr>
    </w:lvl>
    <w:lvl w:ilvl="4">
      <w:start w:val="1"/>
      <w:numFmt w:val="lowerLetter"/>
      <w:isLgl/>
      <w:lvlText w:val="%1.%2.%3.%4.%5."/>
      <w:lvlJc w:val="left"/>
      <w:pPr>
        <w:ind w:left="3545" w:hanging="709"/>
      </w:pPr>
      <w:rPr>
        <w:rFonts w:hint="default"/>
      </w:rPr>
    </w:lvl>
    <w:lvl w:ilvl="5">
      <w:start w:val="1"/>
      <w:numFmt w:val="lowerRoman"/>
      <w:isLgl/>
      <w:lvlText w:val="%1.%2.%3.%4.%5.%6."/>
      <w:lvlJc w:val="left"/>
      <w:pPr>
        <w:ind w:left="4254" w:hanging="709"/>
      </w:pPr>
      <w:rPr>
        <w:rFonts w:hint="default"/>
      </w:rPr>
    </w:lvl>
    <w:lvl w:ilvl="6">
      <w:start w:val="1"/>
      <w:numFmt w:val="decimal"/>
      <w:isLgl/>
      <w:lvlText w:val="%1.%2.%3.%4.%5.%6.%7."/>
      <w:lvlJc w:val="left"/>
      <w:pPr>
        <w:ind w:left="4963" w:hanging="709"/>
      </w:pPr>
      <w:rPr>
        <w:rFonts w:hint="default"/>
      </w:rPr>
    </w:lvl>
    <w:lvl w:ilvl="7">
      <w:start w:val="1"/>
      <w:numFmt w:val="lowerLetter"/>
      <w:isLgl/>
      <w:lvlText w:val="%1.%2.%3.%4.%5.%6.%8."/>
      <w:lvlJc w:val="left"/>
      <w:pPr>
        <w:ind w:left="5672" w:hanging="709"/>
      </w:pPr>
      <w:rPr>
        <w:rFonts w:hint="default"/>
      </w:rPr>
    </w:lvl>
    <w:lvl w:ilvl="8">
      <w:start w:val="1"/>
      <w:numFmt w:val="lowerRoman"/>
      <w:isLgl/>
      <w:lvlText w:val="%1.%2.%3.%4.%5.%6.%9."/>
      <w:lvlJc w:val="left"/>
      <w:pPr>
        <w:ind w:left="6381" w:hanging="709"/>
      </w:pPr>
      <w:rPr>
        <w:rFonts w:hint="default"/>
      </w:rPr>
    </w:lvl>
  </w:abstractNum>
  <w:abstractNum w:abstractNumId="26" w15:restartNumberingAfterBreak="0">
    <w:nsid w:val="68566EDC"/>
    <w:multiLevelType w:val="multilevel"/>
    <w:tmpl w:val="9518469E"/>
    <w:styleLink w:val="MLlistailiststyle"/>
    <w:lvl w:ilvl="0">
      <w:start w:val="1"/>
      <w:numFmt w:val="lowerLetter"/>
      <w:lvlText w:val="(%1)"/>
      <w:lvlJc w:val="left"/>
      <w:pPr>
        <w:ind w:left="709" w:hanging="709"/>
      </w:pPr>
      <w:rPr>
        <w:rFonts w:hint="default"/>
      </w:rPr>
    </w:lvl>
    <w:lvl w:ilvl="1">
      <w:start w:val="1"/>
      <w:numFmt w:val="lowerRoman"/>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lowerLetter"/>
      <w:lvlText w:val="(%7)"/>
      <w:lvlJc w:val="left"/>
      <w:pPr>
        <w:ind w:left="4963" w:hanging="709"/>
      </w:pPr>
      <w:rPr>
        <w:rFonts w:hint="default"/>
      </w:rPr>
    </w:lvl>
    <w:lvl w:ilvl="7">
      <w:start w:val="1"/>
      <w:numFmt w:val="lowerRoman"/>
      <w:lvlText w:val="(%8)"/>
      <w:lvlJc w:val="left"/>
      <w:pPr>
        <w:ind w:left="5672" w:hanging="709"/>
      </w:pPr>
      <w:rPr>
        <w:rFonts w:hint="default"/>
      </w:rPr>
    </w:lvl>
    <w:lvl w:ilvl="8">
      <w:start w:val="1"/>
      <w:numFmt w:val="lowerLetter"/>
      <w:lvlText w:val="(%9)"/>
      <w:lvlJc w:val="left"/>
      <w:pPr>
        <w:ind w:left="6381" w:hanging="709"/>
      </w:pPr>
      <w:rPr>
        <w:rFonts w:hint="default"/>
      </w:rPr>
    </w:lvl>
  </w:abstractNum>
  <w:abstractNum w:abstractNumId="27" w15:restartNumberingAfterBreak="0">
    <w:nsid w:val="68845E6A"/>
    <w:multiLevelType w:val="hybridMultilevel"/>
    <w:tmpl w:val="8CE0D1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B4648A"/>
    <w:multiLevelType w:val="multilevel"/>
    <w:tmpl w:val="1D4EADFC"/>
    <w:styleLink w:val="111111"/>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abstractNum w:abstractNumId="29" w15:restartNumberingAfterBreak="0">
    <w:nsid w:val="6DE706F5"/>
    <w:multiLevelType w:val="multilevel"/>
    <w:tmpl w:val="E2C400E4"/>
    <w:styleLink w:val="StyleNumberedLeft063cmHanging063cm1"/>
    <w:lvl w:ilvl="0">
      <w:start w:val="1"/>
      <w:numFmt w:val="decimal"/>
      <w:lvlText w:val="%1."/>
      <w:lvlJc w:val="left"/>
      <w:pPr>
        <w:ind w:left="709" w:hanging="709"/>
      </w:pPr>
      <w:rPr>
        <w:rFonts w:hint="default"/>
        <w:color w:val="auto"/>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abstractNum w:abstractNumId="30" w15:restartNumberingAfterBreak="0">
    <w:nsid w:val="714D6170"/>
    <w:multiLevelType w:val="hybridMultilevel"/>
    <w:tmpl w:val="C57CB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7B26F3"/>
    <w:multiLevelType w:val="hybridMultilevel"/>
    <w:tmpl w:val="25FA541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032958">
    <w:abstractNumId w:val="4"/>
  </w:num>
  <w:num w:numId="2" w16cid:durableId="1255016866">
    <w:abstractNumId w:val="4"/>
  </w:num>
  <w:num w:numId="3" w16cid:durableId="858352287">
    <w:abstractNumId w:val="4"/>
  </w:num>
  <w:num w:numId="4" w16cid:durableId="684399466">
    <w:abstractNumId w:val="6"/>
  </w:num>
  <w:num w:numId="5" w16cid:durableId="2044624705">
    <w:abstractNumId w:val="3"/>
  </w:num>
  <w:num w:numId="6" w16cid:durableId="573054783">
    <w:abstractNumId w:val="4"/>
  </w:num>
  <w:num w:numId="7" w16cid:durableId="1607999503">
    <w:abstractNumId w:val="26"/>
  </w:num>
  <w:num w:numId="8" w16cid:durableId="410398308">
    <w:abstractNumId w:val="16"/>
  </w:num>
  <w:num w:numId="9" w16cid:durableId="1847016045">
    <w:abstractNumId w:val="19"/>
  </w:num>
  <w:num w:numId="10" w16cid:durableId="705758185">
    <w:abstractNumId w:val="25"/>
  </w:num>
  <w:num w:numId="11" w16cid:durableId="1050110219">
    <w:abstractNumId w:val="7"/>
  </w:num>
  <w:num w:numId="12" w16cid:durableId="1303146974">
    <w:abstractNumId w:val="28"/>
  </w:num>
  <w:num w:numId="13" w16cid:durableId="616370501">
    <w:abstractNumId w:val="13"/>
  </w:num>
  <w:num w:numId="14" w16cid:durableId="1177698430">
    <w:abstractNumId w:val="10"/>
  </w:num>
  <w:num w:numId="15" w16cid:durableId="1880124381">
    <w:abstractNumId w:val="9"/>
  </w:num>
  <w:num w:numId="16" w16cid:durableId="1182283927">
    <w:abstractNumId w:val="0"/>
  </w:num>
  <w:num w:numId="17" w16cid:durableId="991252204">
    <w:abstractNumId w:val="12"/>
  </w:num>
  <w:num w:numId="18" w16cid:durableId="2013677839">
    <w:abstractNumId w:val="8"/>
  </w:num>
  <w:num w:numId="19" w16cid:durableId="2087064974">
    <w:abstractNumId w:val="29"/>
  </w:num>
  <w:num w:numId="20" w16cid:durableId="231282210">
    <w:abstractNumId w:val="15"/>
  </w:num>
  <w:num w:numId="21" w16cid:durableId="1407650853">
    <w:abstractNumId w:val="23"/>
  </w:num>
  <w:num w:numId="22" w16cid:durableId="289366257">
    <w:abstractNumId w:val="24"/>
  </w:num>
  <w:num w:numId="23" w16cid:durableId="1203439312">
    <w:abstractNumId w:val="20"/>
  </w:num>
  <w:num w:numId="24" w16cid:durableId="145126563">
    <w:abstractNumId w:val="14"/>
  </w:num>
  <w:num w:numId="25" w16cid:durableId="1518274853">
    <w:abstractNumId w:val="17"/>
  </w:num>
  <w:num w:numId="26" w16cid:durableId="896748234">
    <w:abstractNumId w:val="27"/>
  </w:num>
  <w:num w:numId="27" w16cid:durableId="1430346922">
    <w:abstractNumId w:val="11"/>
  </w:num>
  <w:num w:numId="28" w16cid:durableId="1372880442">
    <w:abstractNumId w:val="21"/>
  </w:num>
  <w:num w:numId="29" w16cid:durableId="1385518445">
    <w:abstractNumId w:val="2"/>
  </w:num>
  <w:num w:numId="30" w16cid:durableId="991251897">
    <w:abstractNumId w:val="30"/>
  </w:num>
  <w:num w:numId="31" w16cid:durableId="99959589">
    <w:abstractNumId w:val="5"/>
  </w:num>
  <w:num w:numId="32" w16cid:durableId="1972710450">
    <w:abstractNumId w:val="18"/>
  </w:num>
  <w:num w:numId="33" w16cid:durableId="307056540">
    <w:abstractNumId w:val="22"/>
  </w:num>
  <w:num w:numId="34" w16cid:durableId="1892107991">
    <w:abstractNumId w:val="1"/>
  </w:num>
  <w:num w:numId="35" w16cid:durableId="1837263679">
    <w:abstractNumId w:val="31"/>
  </w:num>
  <w:num w:numId="36" w16cid:durableId="744772">
    <w:abstractNumId w:val="3"/>
  </w:num>
  <w:num w:numId="37" w16cid:durableId="698118745">
    <w:abstractNumId w:val="3"/>
  </w:num>
  <w:num w:numId="38" w16cid:durableId="606621239">
    <w:abstractNumId w:val="3"/>
  </w:num>
  <w:num w:numId="39" w16cid:durableId="1739665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3097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533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795630">
    <w:abstractNumId w:val="6"/>
  </w:num>
  <w:num w:numId="43" w16cid:durableId="1035690754">
    <w:abstractNumId w:val="6"/>
  </w:num>
  <w:num w:numId="44" w16cid:durableId="1253006982">
    <w:abstractNumId w:val="6"/>
  </w:num>
  <w:num w:numId="45" w16cid:durableId="976177712">
    <w:abstractNumId w:val="6"/>
  </w:num>
  <w:num w:numId="46" w16cid:durableId="1973636778">
    <w:abstractNumId w:val="6"/>
  </w:num>
  <w:num w:numId="47" w16cid:durableId="1300958726">
    <w:abstractNumId w:val="6"/>
  </w:num>
  <w:num w:numId="48" w16cid:durableId="118454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FA"/>
    <w:rsid w:val="0000709C"/>
    <w:rsid w:val="000138C3"/>
    <w:rsid w:val="00023EF6"/>
    <w:rsid w:val="000245AB"/>
    <w:rsid w:val="00037CB0"/>
    <w:rsid w:val="0004025A"/>
    <w:rsid w:val="00042D52"/>
    <w:rsid w:val="000907CE"/>
    <w:rsid w:val="000C1041"/>
    <w:rsid w:val="000D3090"/>
    <w:rsid w:val="000D7000"/>
    <w:rsid w:val="000E7AD6"/>
    <w:rsid w:val="00180CF3"/>
    <w:rsid w:val="001B3E45"/>
    <w:rsid w:val="001E1A07"/>
    <w:rsid w:val="001F7DC7"/>
    <w:rsid w:val="00223C84"/>
    <w:rsid w:val="00224E88"/>
    <w:rsid w:val="00234955"/>
    <w:rsid w:val="0025253F"/>
    <w:rsid w:val="0025495A"/>
    <w:rsid w:val="0025660D"/>
    <w:rsid w:val="002C2834"/>
    <w:rsid w:val="002D24C5"/>
    <w:rsid w:val="002D5DE0"/>
    <w:rsid w:val="002E4BF5"/>
    <w:rsid w:val="003229CF"/>
    <w:rsid w:val="00325667"/>
    <w:rsid w:val="00330837"/>
    <w:rsid w:val="00335071"/>
    <w:rsid w:val="003663FD"/>
    <w:rsid w:val="00382767"/>
    <w:rsid w:val="003A5484"/>
    <w:rsid w:val="00401E26"/>
    <w:rsid w:val="004300CB"/>
    <w:rsid w:val="00492CF6"/>
    <w:rsid w:val="00494C75"/>
    <w:rsid w:val="004B2509"/>
    <w:rsid w:val="004B4E9F"/>
    <w:rsid w:val="00506E1F"/>
    <w:rsid w:val="00533F82"/>
    <w:rsid w:val="00542EB3"/>
    <w:rsid w:val="00585B8C"/>
    <w:rsid w:val="00590351"/>
    <w:rsid w:val="00604595"/>
    <w:rsid w:val="00631577"/>
    <w:rsid w:val="00652890"/>
    <w:rsid w:val="006616F1"/>
    <w:rsid w:val="0067720D"/>
    <w:rsid w:val="00681562"/>
    <w:rsid w:val="006964EC"/>
    <w:rsid w:val="006F53B7"/>
    <w:rsid w:val="00723A9F"/>
    <w:rsid w:val="00725552"/>
    <w:rsid w:val="00726D09"/>
    <w:rsid w:val="007305D5"/>
    <w:rsid w:val="00730933"/>
    <w:rsid w:val="00733233"/>
    <w:rsid w:val="00742BEC"/>
    <w:rsid w:val="007953DF"/>
    <w:rsid w:val="007A79CA"/>
    <w:rsid w:val="007B2FEC"/>
    <w:rsid w:val="007B3989"/>
    <w:rsid w:val="007D0140"/>
    <w:rsid w:val="00816461"/>
    <w:rsid w:val="0085318D"/>
    <w:rsid w:val="00894D67"/>
    <w:rsid w:val="00895C39"/>
    <w:rsid w:val="008A1037"/>
    <w:rsid w:val="008E6D79"/>
    <w:rsid w:val="008E7F45"/>
    <w:rsid w:val="008F600D"/>
    <w:rsid w:val="00905D30"/>
    <w:rsid w:val="009B0860"/>
    <w:rsid w:val="009B2217"/>
    <w:rsid w:val="009C1608"/>
    <w:rsid w:val="009C2718"/>
    <w:rsid w:val="00A82EE6"/>
    <w:rsid w:val="00AA2A78"/>
    <w:rsid w:val="00AE2529"/>
    <w:rsid w:val="00AF0F6D"/>
    <w:rsid w:val="00B03BA1"/>
    <w:rsid w:val="00B10494"/>
    <w:rsid w:val="00B375A2"/>
    <w:rsid w:val="00B40AA3"/>
    <w:rsid w:val="00B63CC2"/>
    <w:rsid w:val="00BA3BCA"/>
    <w:rsid w:val="00BA6F49"/>
    <w:rsid w:val="00BB7CA8"/>
    <w:rsid w:val="00BC3911"/>
    <w:rsid w:val="00BC442D"/>
    <w:rsid w:val="00BD0FFA"/>
    <w:rsid w:val="00BD2F86"/>
    <w:rsid w:val="00C13AB0"/>
    <w:rsid w:val="00C246EF"/>
    <w:rsid w:val="00C42565"/>
    <w:rsid w:val="00C72F35"/>
    <w:rsid w:val="00C77047"/>
    <w:rsid w:val="00C80FD3"/>
    <w:rsid w:val="00CC432E"/>
    <w:rsid w:val="00CC605B"/>
    <w:rsid w:val="00CD7401"/>
    <w:rsid w:val="00CF5117"/>
    <w:rsid w:val="00D13F54"/>
    <w:rsid w:val="00D17B49"/>
    <w:rsid w:val="00D219FA"/>
    <w:rsid w:val="00D5032C"/>
    <w:rsid w:val="00D575D5"/>
    <w:rsid w:val="00D959A0"/>
    <w:rsid w:val="00DB2A27"/>
    <w:rsid w:val="00DB41FB"/>
    <w:rsid w:val="00DC0246"/>
    <w:rsid w:val="00DD35EE"/>
    <w:rsid w:val="00E073B8"/>
    <w:rsid w:val="00E22394"/>
    <w:rsid w:val="00E75ADE"/>
    <w:rsid w:val="00E8290C"/>
    <w:rsid w:val="00E87D10"/>
    <w:rsid w:val="00E91655"/>
    <w:rsid w:val="00EB283B"/>
    <w:rsid w:val="00EC2F00"/>
    <w:rsid w:val="00F22831"/>
    <w:rsid w:val="00F307C8"/>
    <w:rsid w:val="00F43A74"/>
    <w:rsid w:val="00F5255E"/>
    <w:rsid w:val="00F60226"/>
    <w:rsid w:val="00F6191D"/>
    <w:rsid w:val="00F63AFA"/>
    <w:rsid w:val="00F70482"/>
    <w:rsid w:val="00F7356D"/>
    <w:rsid w:val="00F8516B"/>
    <w:rsid w:val="00FE57F4"/>
    <w:rsid w:val="00FE6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0C5C9"/>
  <w15:chartTrackingRefBased/>
  <w15:docId w15:val="{077798EF-7BAF-46D7-9F12-8A001856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31"/>
    <w:pPr>
      <w:spacing w:after="240" w:line="240" w:lineRule="auto"/>
    </w:pPr>
    <w:rPr>
      <w:rFonts w:ascii="Aptos Light" w:hAnsi="Aptos Light"/>
      <w:sz w:val="22"/>
      <w:szCs w:val="22"/>
    </w:rPr>
  </w:style>
  <w:style w:type="paragraph" w:styleId="Heading1">
    <w:name w:val="heading 1"/>
    <w:basedOn w:val="Normal"/>
    <w:next w:val="Normal"/>
    <w:link w:val="Heading1Char"/>
    <w:uiPriority w:val="9"/>
    <w:qFormat/>
    <w:rsid w:val="0025660D"/>
    <w:pPr>
      <w:keepNext/>
      <w:keepLines/>
      <w:spacing w:before="120" w:after="320"/>
      <w:outlineLvl w:val="0"/>
    </w:pPr>
    <w:rPr>
      <w:rFonts w:ascii="Arial Rounded MT Bold" w:eastAsiaTheme="majorEastAsia" w:hAnsi="Arial Rounded MT Bold" w:cstheme="majorBidi"/>
      <w:color w:val="000000" w:themeColor="text1"/>
      <w:sz w:val="44"/>
      <w:szCs w:val="44"/>
    </w:rPr>
  </w:style>
  <w:style w:type="paragraph" w:styleId="Heading2">
    <w:name w:val="heading 2"/>
    <w:basedOn w:val="Normal"/>
    <w:next w:val="Normal"/>
    <w:link w:val="Heading2Char"/>
    <w:uiPriority w:val="9"/>
    <w:unhideWhenUsed/>
    <w:rsid w:val="00BA3BCA"/>
    <w:pPr>
      <w:keepNext/>
      <w:keepLines/>
      <w:spacing w:before="160" w:after="120"/>
      <w:outlineLvl w:val="1"/>
    </w:pPr>
    <w:rPr>
      <w:rFonts w:ascii="Arial Rounded MT Bold" w:eastAsiaTheme="majorEastAsia" w:hAnsi="Arial Rounded MT Bold" w:cstheme="majorBidi"/>
      <w:sz w:val="30"/>
      <w:szCs w:val="30"/>
    </w:rPr>
  </w:style>
  <w:style w:type="paragraph" w:styleId="Heading3">
    <w:name w:val="heading 3"/>
    <w:basedOn w:val="Normal"/>
    <w:next w:val="Normal"/>
    <w:link w:val="Heading3Char"/>
    <w:uiPriority w:val="9"/>
    <w:unhideWhenUsed/>
    <w:qFormat/>
    <w:rsid w:val="00BA3BCA"/>
    <w:pPr>
      <w:keepNext/>
      <w:keepLines/>
      <w:spacing w:before="80" w:after="40"/>
      <w:outlineLvl w:val="2"/>
    </w:pPr>
    <w:rPr>
      <w:rFonts w:ascii="Aptos SemiBold" w:eastAsiaTheme="majorEastAsia" w:hAnsi="Aptos SemiBold" w:cstheme="majorBidi"/>
      <w:sz w:val="28"/>
      <w:szCs w:val="28"/>
    </w:rPr>
  </w:style>
  <w:style w:type="paragraph" w:styleId="Heading4">
    <w:name w:val="heading 4"/>
    <w:basedOn w:val="Normal"/>
    <w:next w:val="Normal"/>
    <w:link w:val="Heading4Char"/>
    <w:uiPriority w:val="9"/>
    <w:unhideWhenUsed/>
    <w:qFormat/>
    <w:rsid w:val="00B375A2"/>
    <w:pPr>
      <w:keepNext/>
      <w:keepLines/>
      <w:spacing w:before="80" w:after="40"/>
      <w:outlineLvl w:val="3"/>
    </w:pPr>
    <w:rPr>
      <w:rFonts w:ascii="Aptos SemiBold" w:eastAsiaTheme="majorEastAsia" w:hAnsi="Aptos SemiBold" w:cstheme="majorBidi"/>
      <w:sz w:val="24"/>
      <w:szCs w:val="24"/>
    </w:rPr>
  </w:style>
  <w:style w:type="paragraph" w:styleId="Heading5">
    <w:name w:val="heading 5"/>
    <w:basedOn w:val="Normal"/>
    <w:next w:val="Normal"/>
    <w:link w:val="Heading5Char"/>
    <w:uiPriority w:val="9"/>
    <w:unhideWhenUsed/>
    <w:rsid w:val="000D7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rsid w:val="000D7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rsid w:val="000D7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rsid w:val="000D7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60D"/>
    <w:rPr>
      <w:rFonts w:ascii="Arial Rounded MT Bold" w:eastAsiaTheme="majorEastAsia" w:hAnsi="Arial Rounded MT Bold" w:cstheme="majorBidi"/>
      <w:color w:val="000000" w:themeColor="text1"/>
      <w:sz w:val="44"/>
      <w:szCs w:val="44"/>
    </w:rPr>
  </w:style>
  <w:style w:type="character" w:customStyle="1" w:styleId="Heading2Char">
    <w:name w:val="Heading 2 Char"/>
    <w:basedOn w:val="DefaultParagraphFont"/>
    <w:link w:val="Heading2"/>
    <w:uiPriority w:val="9"/>
    <w:rsid w:val="00BA3BCA"/>
    <w:rPr>
      <w:rFonts w:ascii="Arial Rounded MT Bold" w:eastAsiaTheme="majorEastAsia" w:hAnsi="Arial Rounded MT Bold" w:cstheme="majorBidi"/>
      <w:sz w:val="30"/>
      <w:szCs w:val="30"/>
    </w:rPr>
  </w:style>
  <w:style w:type="character" w:customStyle="1" w:styleId="Heading3Char">
    <w:name w:val="Heading 3 Char"/>
    <w:basedOn w:val="DefaultParagraphFont"/>
    <w:link w:val="Heading3"/>
    <w:uiPriority w:val="9"/>
    <w:rsid w:val="00BA3BCA"/>
    <w:rPr>
      <w:rFonts w:ascii="Aptos SemiBold" w:eastAsiaTheme="majorEastAsia" w:hAnsi="Aptos SemiBold" w:cstheme="majorBidi"/>
      <w:sz w:val="28"/>
      <w:szCs w:val="28"/>
    </w:rPr>
  </w:style>
  <w:style w:type="character" w:customStyle="1" w:styleId="Heading4Char">
    <w:name w:val="Heading 4 Char"/>
    <w:basedOn w:val="DefaultParagraphFont"/>
    <w:link w:val="Heading4"/>
    <w:uiPriority w:val="9"/>
    <w:rsid w:val="00B375A2"/>
    <w:rPr>
      <w:rFonts w:ascii="Aptos SemiBold" w:eastAsiaTheme="majorEastAsia" w:hAnsi="Aptos SemiBold" w:cstheme="majorBidi"/>
    </w:rPr>
  </w:style>
  <w:style w:type="character" w:customStyle="1" w:styleId="Heading5Char">
    <w:name w:val="Heading 5 Char"/>
    <w:basedOn w:val="DefaultParagraphFont"/>
    <w:link w:val="Heading5"/>
    <w:uiPriority w:val="9"/>
    <w:rsid w:val="000D7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D7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0D7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000"/>
    <w:rPr>
      <w:rFonts w:eastAsiaTheme="majorEastAsia" w:cstheme="majorBidi"/>
      <w:color w:val="272727" w:themeColor="text1" w:themeTint="D8"/>
    </w:rPr>
  </w:style>
  <w:style w:type="paragraph" w:styleId="Title">
    <w:name w:val="Title"/>
    <w:basedOn w:val="Normal"/>
    <w:next w:val="Normal"/>
    <w:link w:val="TitleChar"/>
    <w:uiPriority w:val="10"/>
    <w:qFormat/>
    <w:rsid w:val="00F70482"/>
    <w:pPr>
      <w:spacing w:after="360" w:line="740" w:lineRule="exact"/>
      <w:contextualSpacing/>
    </w:pPr>
    <w:rPr>
      <w:rFonts w:ascii="Arial Rounded MT Bold" w:eastAsiaTheme="majorEastAsia" w:hAnsi="Arial Rounded MT Bold" w:cstheme="majorBidi"/>
      <w:b/>
      <w:bCs/>
      <w:color w:val="360F3B"/>
      <w:spacing w:val="-10"/>
      <w:kern w:val="28"/>
      <w:sz w:val="70"/>
      <w:szCs w:val="70"/>
    </w:rPr>
  </w:style>
  <w:style w:type="character" w:customStyle="1" w:styleId="TitleChar">
    <w:name w:val="Title Char"/>
    <w:basedOn w:val="DefaultParagraphFont"/>
    <w:link w:val="Title"/>
    <w:uiPriority w:val="10"/>
    <w:rsid w:val="00F70482"/>
    <w:rPr>
      <w:rFonts w:ascii="Arial Rounded MT Bold" w:eastAsiaTheme="majorEastAsia" w:hAnsi="Arial Rounded MT Bold" w:cstheme="majorBidi"/>
      <w:b/>
      <w:bCs/>
      <w:color w:val="360F3B"/>
      <w:spacing w:val="-10"/>
      <w:kern w:val="28"/>
      <w:sz w:val="70"/>
      <w:szCs w:val="70"/>
    </w:rPr>
  </w:style>
  <w:style w:type="paragraph" w:styleId="Subtitle">
    <w:name w:val="Subtitle"/>
    <w:aliases w:val="Subtitle for cover"/>
    <w:basedOn w:val="Normal"/>
    <w:next w:val="Normal"/>
    <w:link w:val="SubtitleChar"/>
    <w:uiPriority w:val="11"/>
    <w:qFormat/>
    <w:rsid w:val="009B0860"/>
    <w:pPr>
      <w:numPr>
        <w:ilvl w:val="1"/>
      </w:numPr>
      <w:spacing w:after="120"/>
    </w:pPr>
    <w:rPr>
      <w:rFonts w:ascii="Aptos SemiBold" w:eastAsiaTheme="majorEastAsia" w:hAnsi="Aptos SemiBold" w:cstheme="majorBidi"/>
      <w:color w:val="055780"/>
      <w:spacing w:val="-5"/>
      <w:kern w:val="16"/>
      <w:sz w:val="40"/>
      <w:szCs w:val="40"/>
    </w:rPr>
  </w:style>
  <w:style w:type="character" w:customStyle="1" w:styleId="SubtitleChar">
    <w:name w:val="Subtitle Char"/>
    <w:aliases w:val="Subtitle for cover Char"/>
    <w:basedOn w:val="DefaultParagraphFont"/>
    <w:link w:val="Subtitle"/>
    <w:uiPriority w:val="11"/>
    <w:rsid w:val="009B0860"/>
    <w:rPr>
      <w:rFonts w:ascii="Aptos SemiBold" w:eastAsiaTheme="majorEastAsia" w:hAnsi="Aptos SemiBold" w:cstheme="majorBidi"/>
      <w:color w:val="055780"/>
      <w:spacing w:val="-5"/>
      <w:kern w:val="16"/>
      <w:sz w:val="40"/>
      <w:szCs w:val="40"/>
    </w:rPr>
  </w:style>
  <w:style w:type="paragraph" w:styleId="ListParagraph">
    <w:name w:val="List Paragraph"/>
    <w:basedOn w:val="Normal"/>
    <w:uiPriority w:val="34"/>
    <w:qFormat/>
    <w:rsid w:val="00042D52"/>
    <w:pPr>
      <w:numPr>
        <w:numId w:val="15"/>
      </w:numPr>
      <w:spacing w:before="120" w:after="120"/>
      <w:contextualSpacing/>
      <w:jc w:val="both"/>
    </w:pPr>
    <w:rPr>
      <w:rFonts w:ascii="Arial" w:eastAsia="Times New Roman" w:hAnsi="Arial"/>
      <w:kern w:val="0"/>
      <w:szCs w:val="24"/>
      <w14:ligatures w14:val="none"/>
    </w:rPr>
  </w:style>
  <w:style w:type="paragraph" w:styleId="Header">
    <w:name w:val="header"/>
    <w:aliases w:val="Header L"/>
    <w:basedOn w:val="NoSpacing"/>
    <w:link w:val="HeaderChar"/>
    <w:uiPriority w:val="98"/>
    <w:unhideWhenUsed/>
    <w:rsid w:val="00042D52"/>
    <w:pPr>
      <w:tabs>
        <w:tab w:val="center" w:pos="4513"/>
        <w:tab w:val="right" w:pos="9026"/>
      </w:tabs>
    </w:pPr>
    <w:rPr>
      <w:sz w:val="18"/>
    </w:rPr>
  </w:style>
  <w:style w:type="character" w:customStyle="1" w:styleId="HeaderChar">
    <w:name w:val="Header Char"/>
    <w:aliases w:val="Header L Char"/>
    <w:basedOn w:val="DefaultParagraphFont"/>
    <w:link w:val="Header"/>
    <w:uiPriority w:val="98"/>
    <w:rsid w:val="00042D52"/>
    <w:rPr>
      <w:rFonts w:ascii="Arial" w:hAnsi="Arial"/>
      <w:color w:val="000000" w:themeColor="text1"/>
      <w:kern w:val="0"/>
      <w:sz w:val="18"/>
      <w:szCs w:val="22"/>
      <w14:ligatures w14:val="none"/>
    </w:rPr>
  </w:style>
  <w:style w:type="paragraph" w:styleId="Footer">
    <w:name w:val="footer"/>
    <w:basedOn w:val="NoSpacing"/>
    <w:link w:val="FooterChar"/>
    <w:uiPriority w:val="99"/>
    <w:rsid w:val="00042D52"/>
    <w:pPr>
      <w:tabs>
        <w:tab w:val="center" w:pos="4513"/>
        <w:tab w:val="right" w:pos="9026"/>
      </w:tabs>
    </w:pPr>
    <w:rPr>
      <w:sz w:val="18"/>
    </w:rPr>
  </w:style>
  <w:style w:type="character" w:customStyle="1" w:styleId="FooterChar">
    <w:name w:val="Footer Char"/>
    <w:basedOn w:val="DefaultParagraphFont"/>
    <w:link w:val="Footer"/>
    <w:uiPriority w:val="99"/>
    <w:rsid w:val="00042D52"/>
    <w:rPr>
      <w:rFonts w:ascii="Arial" w:hAnsi="Arial"/>
      <w:color w:val="000000" w:themeColor="text1"/>
      <w:kern w:val="0"/>
      <w:sz w:val="18"/>
      <w:szCs w:val="22"/>
      <w14:ligatures w14:val="none"/>
    </w:rPr>
  </w:style>
  <w:style w:type="paragraph" w:customStyle="1" w:styleId="Normalbold">
    <w:name w:val="Normal bold"/>
    <w:basedOn w:val="Normal"/>
    <w:qFormat/>
    <w:rsid w:val="00EB283B"/>
    <w:rPr>
      <w:rFonts w:ascii="Aptos SemiBold" w:hAnsi="Aptos SemiBold"/>
      <w:noProof/>
    </w:rPr>
  </w:style>
  <w:style w:type="character" w:customStyle="1" w:styleId="CHAct">
    <w:name w:val="(CH) Act"/>
    <w:uiPriority w:val="2"/>
    <w:qFormat/>
    <w:rsid w:val="00042D52"/>
    <w:rPr>
      <w:i/>
    </w:rPr>
  </w:style>
  <w:style w:type="character" w:customStyle="1" w:styleId="CHDefinition">
    <w:name w:val="(CH) Definition"/>
    <w:uiPriority w:val="2"/>
    <w:qFormat/>
    <w:rsid w:val="00042D52"/>
    <w:rPr>
      <w:b/>
    </w:rPr>
  </w:style>
  <w:style w:type="paragraph" w:customStyle="1" w:styleId="HeadingL1">
    <w:name w:val="~Heading L1"/>
    <w:basedOn w:val="Normal"/>
    <w:next w:val="Normal"/>
    <w:link w:val="HeadingL1Char"/>
    <w:uiPriority w:val="4"/>
    <w:qFormat/>
    <w:rsid w:val="00DC0246"/>
    <w:pPr>
      <w:spacing w:before="240" w:after="120"/>
      <w:outlineLvl w:val="0"/>
    </w:pPr>
    <w:rPr>
      <w:rFonts w:asciiTheme="minorHAnsi" w:hAnsiTheme="minorHAnsi"/>
      <w:b/>
      <w:caps/>
      <w:color w:val="000000" w:themeColor="text1"/>
      <w:kern w:val="0"/>
      <w14:ligatures w14:val="none"/>
    </w:rPr>
  </w:style>
  <w:style w:type="character" w:customStyle="1" w:styleId="HeadingL1Char">
    <w:name w:val="~Heading L1 Char"/>
    <w:basedOn w:val="DefaultParagraphFont"/>
    <w:link w:val="HeadingL1"/>
    <w:uiPriority w:val="4"/>
    <w:rsid w:val="00DC0246"/>
    <w:rPr>
      <w:b/>
      <w:caps/>
      <w:color w:val="000000" w:themeColor="text1"/>
      <w:kern w:val="0"/>
      <w:sz w:val="22"/>
      <w:szCs w:val="22"/>
      <w14:ligatures w14:val="none"/>
    </w:rPr>
  </w:style>
  <w:style w:type="paragraph" w:customStyle="1" w:styleId="HeadingL2">
    <w:name w:val="~Heading L2"/>
    <w:next w:val="Normal"/>
    <w:link w:val="HeadingL2Char"/>
    <w:uiPriority w:val="4"/>
    <w:qFormat/>
    <w:rsid w:val="00DC0246"/>
    <w:pPr>
      <w:spacing w:before="240" w:after="120" w:line="240" w:lineRule="auto"/>
      <w:outlineLvl w:val="1"/>
    </w:pPr>
    <w:rPr>
      <w:b/>
      <w:color w:val="000000" w:themeColor="text1"/>
      <w:kern w:val="0"/>
      <w:sz w:val="22"/>
      <w:szCs w:val="22"/>
      <w14:ligatures w14:val="none"/>
    </w:rPr>
  </w:style>
  <w:style w:type="character" w:customStyle="1" w:styleId="HeadingL2Char">
    <w:name w:val="~Heading L2 Char"/>
    <w:basedOn w:val="DefaultParagraphFont"/>
    <w:link w:val="HeadingL2"/>
    <w:uiPriority w:val="4"/>
    <w:rsid w:val="00DC0246"/>
    <w:rPr>
      <w:b/>
      <w:color w:val="000000" w:themeColor="text1"/>
      <w:kern w:val="0"/>
      <w:sz w:val="22"/>
      <w:szCs w:val="22"/>
      <w14:ligatures w14:val="none"/>
    </w:rPr>
  </w:style>
  <w:style w:type="paragraph" w:customStyle="1" w:styleId="HeadingL3">
    <w:name w:val="~Heading L3"/>
    <w:next w:val="Normal"/>
    <w:link w:val="HeadingL3Char"/>
    <w:uiPriority w:val="4"/>
    <w:qFormat/>
    <w:rsid w:val="00DC0246"/>
    <w:pPr>
      <w:spacing w:before="240" w:after="120" w:line="240" w:lineRule="auto"/>
      <w:outlineLvl w:val="2"/>
    </w:pPr>
    <w:rPr>
      <w:i/>
      <w:color w:val="000000" w:themeColor="text1"/>
      <w:kern w:val="0"/>
      <w:sz w:val="22"/>
      <w:szCs w:val="22"/>
      <w14:ligatures w14:val="none"/>
    </w:rPr>
  </w:style>
  <w:style w:type="character" w:customStyle="1" w:styleId="HeadingL3Char">
    <w:name w:val="~Heading L3 Char"/>
    <w:basedOn w:val="DefaultParagraphFont"/>
    <w:link w:val="HeadingL3"/>
    <w:uiPriority w:val="4"/>
    <w:rsid w:val="00DC0246"/>
    <w:rPr>
      <w:i/>
      <w:color w:val="000000" w:themeColor="text1"/>
      <w:kern w:val="0"/>
      <w:sz w:val="22"/>
      <w:szCs w:val="22"/>
      <w14:ligatures w14:val="none"/>
    </w:rPr>
  </w:style>
  <w:style w:type="paragraph" w:customStyle="1" w:styleId="HeadinglistnumL1">
    <w:name w:val="~Heading list num L1"/>
    <w:basedOn w:val="HeadingL1"/>
    <w:uiPriority w:val="5"/>
    <w:qFormat/>
    <w:rsid w:val="00042D52"/>
    <w:pPr>
      <w:numPr>
        <w:numId w:val="6"/>
      </w:numPr>
    </w:pPr>
  </w:style>
  <w:style w:type="paragraph" w:customStyle="1" w:styleId="HeadinglistnumL2">
    <w:name w:val="~Heading list num L2"/>
    <w:basedOn w:val="HeadingL2"/>
    <w:uiPriority w:val="5"/>
    <w:qFormat/>
    <w:rsid w:val="00042D52"/>
    <w:pPr>
      <w:numPr>
        <w:ilvl w:val="1"/>
        <w:numId w:val="6"/>
      </w:numPr>
    </w:pPr>
  </w:style>
  <w:style w:type="paragraph" w:customStyle="1" w:styleId="HeadinglistnumL3">
    <w:name w:val="~Heading list num L3"/>
    <w:basedOn w:val="HeadingL3"/>
    <w:uiPriority w:val="5"/>
    <w:qFormat/>
    <w:rsid w:val="00042D52"/>
    <w:pPr>
      <w:numPr>
        <w:ilvl w:val="2"/>
        <w:numId w:val="6"/>
      </w:numPr>
    </w:pPr>
  </w:style>
  <w:style w:type="paragraph" w:customStyle="1" w:styleId="Legheading">
    <w:name w:val="~Leg heading"/>
    <w:basedOn w:val="Normal"/>
    <w:next w:val="Normal"/>
    <w:link w:val="LegheadingChar"/>
    <w:uiPriority w:val="9"/>
    <w:qFormat/>
    <w:rsid w:val="00DC0246"/>
    <w:pPr>
      <w:spacing w:before="120" w:after="120"/>
    </w:pPr>
    <w:rPr>
      <w:rFonts w:asciiTheme="minorHAnsi" w:eastAsia="Times New Roman" w:hAnsiTheme="minorHAnsi"/>
      <w:b/>
      <w:i/>
      <w:kern w:val="0"/>
      <w:szCs w:val="24"/>
      <w14:ligatures w14:val="none"/>
    </w:rPr>
  </w:style>
  <w:style w:type="character" w:customStyle="1" w:styleId="LegheadingChar">
    <w:name w:val="~Leg heading Char"/>
    <w:basedOn w:val="DefaultParagraphFont"/>
    <w:link w:val="Legheading"/>
    <w:uiPriority w:val="9"/>
    <w:rsid w:val="00DC0246"/>
    <w:rPr>
      <w:rFonts w:eastAsia="Times New Roman"/>
      <w:b/>
      <w:i/>
      <w:kern w:val="0"/>
      <w:sz w:val="22"/>
      <w14:ligatures w14:val="none"/>
    </w:rPr>
  </w:style>
  <w:style w:type="paragraph" w:customStyle="1" w:styleId="LeglistL1hanging">
    <w:name w:val="~Leg list L1 (hanging)"/>
    <w:basedOn w:val="Normal"/>
    <w:link w:val="LeglistL1hangingChar"/>
    <w:uiPriority w:val="9"/>
    <w:qFormat/>
    <w:rsid w:val="00DC0246"/>
    <w:pPr>
      <w:spacing w:before="120" w:after="120"/>
      <w:ind w:left="1418" w:hanging="709"/>
      <w:jc w:val="both"/>
    </w:pPr>
    <w:rPr>
      <w:rFonts w:asciiTheme="minorHAnsi" w:eastAsia="Times New Roman" w:hAnsiTheme="minorHAnsi"/>
      <w:i/>
      <w:kern w:val="0"/>
      <w:szCs w:val="24"/>
      <w14:ligatures w14:val="none"/>
    </w:rPr>
  </w:style>
  <w:style w:type="character" w:customStyle="1" w:styleId="LeglistL1hangingChar">
    <w:name w:val="~Leg list L1 (hanging) Char"/>
    <w:basedOn w:val="DefaultParagraphFont"/>
    <w:link w:val="LeglistL1hanging"/>
    <w:uiPriority w:val="9"/>
    <w:rsid w:val="00DC0246"/>
    <w:rPr>
      <w:rFonts w:eastAsia="Times New Roman"/>
      <w:i/>
      <w:kern w:val="0"/>
      <w:sz w:val="22"/>
      <w14:ligatures w14:val="none"/>
    </w:rPr>
  </w:style>
  <w:style w:type="paragraph" w:customStyle="1" w:styleId="LeglistL1nohanging">
    <w:name w:val="~Leg list L1 (no hanging)"/>
    <w:basedOn w:val="LeglistL1hanging"/>
    <w:link w:val="LeglistL1nohangingChar"/>
    <w:uiPriority w:val="10"/>
    <w:qFormat/>
    <w:rsid w:val="00042D52"/>
    <w:pPr>
      <w:ind w:left="709" w:firstLine="0"/>
    </w:pPr>
  </w:style>
  <w:style w:type="character" w:customStyle="1" w:styleId="LeglistL1nohangingChar">
    <w:name w:val="~Leg list L1 (no hanging) Char"/>
    <w:basedOn w:val="LeglistL1hangingChar"/>
    <w:link w:val="LeglistL1nohanging"/>
    <w:uiPriority w:val="10"/>
    <w:rsid w:val="00042D52"/>
    <w:rPr>
      <w:rFonts w:ascii="Arial" w:eastAsia="Times New Roman" w:hAnsi="Arial"/>
      <w:i/>
      <w:kern w:val="0"/>
      <w:sz w:val="22"/>
      <w14:ligatures w14:val="none"/>
    </w:rPr>
  </w:style>
  <w:style w:type="paragraph" w:customStyle="1" w:styleId="LeglistL2hanging">
    <w:name w:val="~Leg list L2 (hanging)"/>
    <w:basedOn w:val="Normal"/>
    <w:link w:val="LeglistL2hangingChar"/>
    <w:uiPriority w:val="9"/>
    <w:qFormat/>
    <w:rsid w:val="00DC0246"/>
    <w:pPr>
      <w:spacing w:before="120" w:after="120"/>
      <w:ind w:left="2127" w:hanging="709"/>
      <w:jc w:val="both"/>
    </w:pPr>
    <w:rPr>
      <w:rFonts w:asciiTheme="minorHAnsi" w:eastAsia="Times New Roman" w:hAnsiTheme="minorHAnsi"/>
      <w:i/>
      <w:kern w:val="0"/>
      <w:szCs w:val="24"/>
      <w14:ligatures w14:val="none"/>
    </w:rPr>
  </w:style>
  <w:style w:type="character" w:customStyle="1" w:styleId="LeglistL2hangingChar">
    <w:name w:val="~Leg list L2 (hanging) Char"/>
    <w:basedOn w:val="DefaultParagraphFont"/>
    <w:link w:val="LeglistL2hanging"/>
    <w:uiPriority w:val="9"/>
    <w:rsid w:val="00DC0246"/>
    <w:rPr>
      <w:rFonts w:eastAsia="Times New Roman"/>
      <w:i/>
      <w:kern w:val="0"/>
      <w:sz w:val="22"/>
      <w14:ligatures w14:val="none"/>
    </w:rPr>
  </w:style>
  <w:style w:type="paragraph" w:customStyle="1" w:styleId="LeglistL2nohanging">
    <w:name w:val="~Leg list L2 (no hanging)"/>
    <w:basedOn w:val="LeglistL2hanging"/>
    <w:link w:val="LeglistL2nohangingChar"/>
    <w:uiPriority w:val="10"/>
    <w:qFormat/>
    <w:rsid w:val="00042D52"/>
    <w:pPr>
      <w:ind w:left="1418" w:firstLine="0"/>
    </w:pPr>
  </w:style>
  <w:style w:type="character" w:customStyle="1" w:styleId="LeglistL2nohangingChar">
    <w:name w:val="~Leg list L2 (no hanging) Char"/>
    <w:basedOn w:val="LeglistL2hangingChar"/>
    <w:link w:val="LeglistL2nohanging"/>
    <w:uiPriority w:val="10"/>
    <w:rsid w:val="00042D52"/>
    <w:rPr>
      <w:rFonts w:ascii="Arial" w:eastAsia="Times New Roman" w:hAnsi="Arial"/>
      <w:i/>
      <w:kern w:val="0"/>
      <w:sz w:val="22"/>
      <w14:ligatures w14:val="none"/>
    </w:rPr>
  </w:style>
  <w:style w:type="paragraph" w:customStyle="1" w:styleId="LeglistL3hanging">
    <w:name w:val="~Leg list L3 (hanging)"/>
    <w:basedOn w:val="LeglistL2hanging"/>
    <w:link w:val="LeglistL3hangingChar"/>
    <w:uiPriority w:val="9"/>
    <w:semiHidden/>
    <w:qFormat/>
    <w:rsid w:val="00042D52"/>
    <w:pPr>
      <w:ind w:left="2835"/>
    </w:pPr>
  </w:style>
  <w:style w:type="character" w:customStyle="1" w:styleId="LeglistL3hangingChar">
    <w:name w:val="~Leg list L3 (hanging) Char"/>
    <w:basedOn w:val="LeglistL2hangingChar"/>
    <w:link w:val="LeglistL3hanging"/>
    <w:uiPriority w:val="9"/>
    <w:semiHidden/>
    <w:rsid w:val="00042D52"/>
    <w:rPr>
      <w:rFonts w:ascii="Arial" w:eastAsia="Times New Roman" w:hAnsi="Arial"/>
      <w:i/>
      <w:kern w:val="0"/>
      <w:sz w:val="22"/>
      <w14:ligatures w14:val="none"/>
    </w:rPr>
  </w:style>
  <w:style w:type="paragraph" w:customStyle="1" w:styleId="LeglistL3nohanging">
    <w:name w:val="~Leg list L3 (no hanging)"/>
    <w:basedOn w:val="LeglistL3hanging"/>
    <w:link w:val="LeglistL3nohangingChar"/>
    <w:uiPriority w:val="10"/>
    <w:semiHidden/>
    <w:qFormat/>
    <w:rsid w:val="00042D52"/>
    <w:pPr>
      <w:ind w:left="2126" w:firstLine="0"/>
    </w:pPr>
  </w:style>
  <w:style w:type="character" w:customStyle="1" w:styleId="LeglistL3nohangingChar">
    <w:name w:val="~Leg list L3 (no hanging) Char"/>
    <w:basedOn w:val="LeglistL3hangingChar"/>
    <w:link w:val="LeglistL3nohanging"/>
    <w:uiPriority w:val="10"/>
    <w:semiHidden/>
    <w:rsid w:val="00042D52"/>
    <w:rPr>
      <w:rFonts w:ascii="Arial" w:eastAsia="Times New Roman" w:hAnsi="Arial"/>
      <w:i/>
      <w:kern w:val="0"/>
      <w:sz w:val="22"/>
      <w14:ligatures w14:val="none"/>
    </w:rPr>
  </w:style>
  <w:style w:type="paragraph" w:customStyle="1" w:styleId="LeglistL4hanging">
    <w:name w:val="~Leg list L4 (hanging)"/>
    <w:basedOn w:val="LeglistL3hanging"/>
    <w:uiPriority w:val="9"/>
    <w:semiHidden/>
    <w:qFormat/>
    <w:rsid w:val="00042D52"/>
    <w:pPr>
      <w:ind w:left="3544"/>
    </w:pPr>
  </w:style>
  <w:style w:type="paragraph" w:customStyle="1" w:styleId="LeglistL4nohanging">
    <w:name w:val="~Leg list L4 (no hanging)"/>
    <w:basedOn w:val="LeglistL4hanging"/>
    <w:uiPriority w:val="10"/>
    <w:semiHidden/>
    <w:qFormat/>
    <w:rsid w:val="00042D52"/>
    <w:pPr>
      <w:ind w:left="2835" w:firstLine="0"/>
    </w:pPr>
  </w:style>
  <w:style w:type="paragraph" w:customStyle="1" w:styleId="Listbullet">
    <w:name w:val="~List bullet"/>
    <w:link w:val="ListbulletChar"/>
    <w:uiPriority w:val="7"/>
    <w:qFormat/>
    <w:rsid w:val="00C246EF"/>
    <w:pPr>
      <w:numPr>
        <w:numId w:val="4"/>
      </w:numPr>
      <w:spacing w:before="120" w:after="120" w:line="240" w:lineRule="auto"/>
      <w:contextualSpacing/>
    </w:pPr>
    <w:rPr>
      <w:color w:val="000000" w:themeColor="text1"/>
      <w:kern w:val="0"/>
      <w:sz w:val="22"/>
      <w:szCs w:val="22"/>
      <w14:ligatures w14:val="none"/>
    </w:rPr>
  </w:style>
  <w:style w:type="character" w:customStyle="1" w:styleId="ListbulletChar">
    <w:name w:val="~List bullet Char"/>
    <w:basedOn w:val="DefaultParagraphFont"/>
    <w:link w:val="Listbullet"/>
    <w:uiPriority w:val="7"/>
    <w:rsid w:val="00C246EF"/>
    <w:rPr>
      <w:color w:val="000000" w:themeColor="text1"/>
      <w:kern w:val="0"/>
      <w:sz w:val="22"/>
      <w:szCs w:val="22"/>
      <w14:ligatures w14:val="none"/>
    </w:rPr>
  </w:style>
  <w:style w:type="paragraph" w:customStyle="1" w:styleId="Listnumber111">
    <w:name w:val="~List number (1. / 1.1.)"/>
    <w:link w:val="Listnumber111Char"/>
    <w:uiPriority w:val="6"/>
    <w:qFormat/>
    <w:rsid w:val="00DC0246"/>
    <w:pPr>
      <w:numPr>
        <w:numId w:val="5"/>
      </w:numPr>
      <w:spacing w:after="0" w:line="240" w:lineRule="auto"/>
      <w:contextualSpacing/>
    </w:pPr>
    <w:rPr>
      <w:rFonts w:eastAsia="Times New Roman"/>
      <w:kern w:val="0"/>
      <w:sz w:val="22"/>
      <w14:ligatures w14:val="none"/>
    </w:rPr>
  </w:style>
  <w:style w:type="character" w:customStyle="1" w:styleId="Listnumber111Char">
    <w:name w:val="~List number (1. / 1.1.) Char"/>
    <w:basedOn w:val="DefaultParagraphFont"/>
    <w:link w:val="Listnumber111"/>
    <w:uiPriority w:val="6"/>
    <w:rsid w:val="00DC0246"/>
    <w:rPr>
      <w:rFonts w:eastAsia="Times New Roman"/>
      <w:kern w:val="0"/>
      <w:sz w:val="22"/>
      <w14:ligatures w14:val="none"/>
    </w:rPr>
  </w:style>
  <w:style w:type="table" w:customStyle="1" w:styleId="LStable1">
    <w:name w:val="~LS table 1"/>
    <w:basedOn w:val="TableNormal"/>
    <w:uiPriority w:val="99"/>
    <w:rsid w:val="00042D52"/>
    <w:pPr>
      <w:spacing w:before="120" w:after="0" w:line="240" w:lineRule="auto"/>
    </w:pPr>
    <w:rPr>
      <w:rFonts w:ascii="Arial" w:hAnsi="Arial"/>
      <w:color w:val="000000" w:themeColor="text1"/>
      <w:kern w:val="0"/>
      <w:sz w:val="18"/>
      <w:szCs w:val="22"/>
      <w14:ligatures w14:val="none"/>
    </w:rPr>
    <w:tblPr>
      <w:tblBorders>
        <w:top w:val="single" w:sz="4" w:space="0" w:color="auto"/>
        <w:bottom w:val="single" w:sz="4" w:space="0" w:color="auto"/>
        <w:insideH w:val="single" w:sz="4" w:space="0" w:color="auto"/>
      </w:tblBorders>
      <w:tblCellMar>
        <w:top w:w="74" w:type="dxa"/>
        <w:left w:w="71" w:type="dxa"/>
        <w:bottom w:w="74" w:type="dxa"/>
        <w:right w:w="71" w:type="dxa"/>
      </w:tblCellMar>
    </w:tblPr>
    <w:trPr>
      <w:cantSplit/>
    </w:trPr>
    <w:tcPr>
      <w:vAlign w:val="center"/>
    </w:tcPr>
    <w:tblStylePr w:type="firstRow">
      <w:pPr>
        <w:jc w:val="left"/>
      </w:pPr>
      <w:rPr>
        <w:b/>
      </w:rPr>
    </w:tblStylePr>
    <w:tblStylePr w:type="firstCol">
      <w:pPr>
        <w:jc w:val="left"/>
      </w:pPr>
      <w:rPr>
        <w:b/>
      </w:rPr>
    </w:tblStylePr>
  </w:style>
  <w:style w:type="table" w:customStyle="1" w:styleId="LStable2">
    <w:name w:val="~LS table 2"/>
    <w:basedOn w:val="TableNormal"/>
    <w:uiPriority w:val="99"/>
    <w:rsid w:val="00042D52"/>
    <w:pPr>
      <w:spacing w:before="120" w:after="120" w:line="240" w:lineRule="auto"/>
    </w:pPr>
    <w:rPr>
      <w:rFonts w:ascii="Arial" w:hAnsi="Arial"/>
      <w:color w:val="000000" w:themeColor="text1"/>
      <w:kern w:val="0"/>
      <w:sz w:val="22"/>
      <w:szCs w:val="22"/>
      <w14:ligatures w14:val="none"/>
    </w:rPr>
    <w:tblPr>
      <w:tblCellMar>
        <w:top w:w="113" w:type="dxa"/>
        <w:left w:w="0" w:type="dxa"/>
        <w:bottom w:w="113" w:type="dxa"/>
        <w:right w:w="0" w:type="dxa"/>
      </w:tblCellMar>
    </w:tblPr>
    <w:tblStylePr w:type="firstRow">
      <w:rPr>
        <w:b/>
      </w:rPr>
    </w:tblStylePr>
    <w:tblStylePr w:type="lastRow">
      <w:rPr>
        <w:b/>
      </w:rPr>
    </w:tblStylePr>
    <w:tblStylePr w:type="firstCol">
      <w:rPr>
        <w:b/>
      </w:rPr>
    </w:tblStylePr>
    <w:tblStylePr w:type="lastCol">
      <w:rPr>
        <w:b/>
      </w:rPr>
    </w:tblStylePr>
  </w:style>
  <w:style w:type="numbering" w:customStyle="1" w:styleId="MLheadinglistnumliststyle">
    <w:name w:val="~ML heading list num (list style)"/>
    <w:uiPriority w:val="99"/>
    <w:rsid w:val="00042D52"/>
    <w:pPr>
      <w:numPr>
        <w:numId w:val="1"/>
      </w:numPr>
    </w:pPr>
  </w:style>
  <w:style w:type="numbering" w:customStyle="1" w:styleId="MLlistailiststyle">
    <w:name w:val="~ML list (a) (i) (list style)"/>
    <w:uiPriority w:val="99"/>
    <w:rsid w:val="00042D52"/>
    <w:pPr>
      <w:numPr>
        <w:numId w:val="7"/>
      </w:numPr>
    </w:pPr>
  </w:style>
  <w:style w:type="numbering" w:customStyle="1" w:styleId="MLlistbulliststyle">
    <w:name w:val="~ML list bul (list style)"/>
    <w:basedOn w:val="NoList"/>
    <w:uiPriority w:val="99"/>
    <w:rsid w:val="00042D52"/>
    <w:pPr>
      <w:numPr>
        <w:numId w:val="8"/>
      </w:numPr>
    </w:pPr>
  </w:style>
  <w:style w:type="numbering" w:customStyle="1" w:styleId="MLlistlegliststyle">
    <w:name w:val="~ML list leg (list style)"/>
    <w:next w:val="NoList"/>
    <w:uiPriority w:val="99"/>
    <w:rsid w:val="00042D52"/>
    <w:pPr>
      <w:numPr>
        <w:numId w:val="9"/>
      </w:numPr>
    </w:pPr>
  </w:style>
  <w:style w:type="numbering" w:customStyle="1" w:styleId="MLlistnumliststyle">
    <w:name w:val="~ML list num (list style)"/>
    <w:uiPriority w:val="99"/>
    <w:rsid w:val="00042D52"/>
    <w:pPr>
      <w:numPr>
        <w:numId w:val="10"/>
      </w:numPr>
    </w:pPr>
  </w:style>
  <w:style w:type="paragraph" w:styleId="NoSpacing">
    <w:name w:val="No Spacing"/>
    <w:aliases w:val="No Spacing L"/>
    <w:uiPriority w:val="1"/>
    <w:qFormat/>
    <w:rsid w:val="00042D52"/>
    <w:pPr>
      <w:spacing w:after="0" w:line="240" w:lineRule="auto"/>
    </w:pPr>
    <w:rPr>
      <w:rFonts w:ascii="Arial" w:hAnsi="Arial"/>
      <w:color w:val="000000" w:themeColor="text1"/>
      <w:kern w:val="0"/>
      <w:sz w:val="22"/>
      <w:szCs w:val="22"/>
      <w14:ligatures w14:val="none"/>
    </w:rPr>
  </w:style>
  <w:style w:type="paragraph" w:customStyle="1" w:styleId="Quote">
    <w:name w:val="~Quote"/>
    <w:basedOn w:val="NoSpacing"/>
    <w:link w:val="QuoteChar"/>
    <w:uiPriority w:val="8"/>
    <w:qFormat/>
    <w:rsid w:val="00DC0246"/>
    <w:rPr>
      <w:rFonts w:asciiTheme="minorHAnsi" w:hAnsiTheme="minorHAnsi"/>
    </w:rPr>
  </w:style>
  <w:style w:type="character" w:customStyle="1" w:styleId="QuoteChar">
    <w:name w:val="~Quote Char"/>
    <w:basedOn w:val="DefaultParagraphFont"/>
    <w:link w:val="Quote"/>
    <w:uiPriority w:val="8"/>
    <w:rsid w:val="00DC0246"/>
    <w:rPr>
      <w:color w:val="000000" w:themeColor="text1"/>
      <w:kern w:val="0"/>
      <w:sz w:val="22"/>
      <w:szCs w:val="22"/>
      <w14:ligatures w14:val="none"/>
    </w:rPr>
  </w:style>
  <w:style w:type="numbering" w:styleId="111111">
    <w:name w:val="Outline List 2"/>
    <w:basedOn w:val="NoList"/>
    <w:uiPriority w:val="99"/>
    <w:semiHidden/>
    <w:unhideWhenUsed/>
    <w:rsid w:val="00042D52"/>
    <w:pPr>
      <w:numPr>
        <w:numId w:val="12"/>
      </w:numPr>
    </w:pPr>
  </w:style>
  <w:style w:type="numbering" w:styleId="1ai">
    <w:name w:val="Outline List 1"/>
    <w:basedOn w:val="NoList"/>
    <w:uiPriority w:val="99"/>
    <w:semiHidden/>
    <w:unhideWhenUsed/>
    <w:rsid w:val="00042D52"/>
    <w:pPr>
      <w:numPr>
        <w:numId w:val="13"/>
      </w:numPr>
    </w:pPr>
  </w:style>
  <w:style w:type="character" w:styleId="CommentReference">
    <w:name w:val="annotation reference"/>
    <w:basedOn w:val="DefaultParagraphFont"/>
    <w:uiPriority w:val="99"/>
    <w:semiHidden/>
    <w:unhideWhenUsed/>
    <w:rsid w:val="00042D52"/>
    <w:rPr>
      <w:sz w:val="16"/>
      <w:szCs w:val="16"/>
    </w:rPr>
  </w:style>
  <w:style w:type="paragraph" w:styleId="CommentText">
    <w:name w:val="annotation text"/>
    <w:basedOn w:val="Normal"/>
    <w:link w:val="CommentTextChar"/>
    <w:uiPriority w:val="99"/>
    <w:semiHidden/>
    <w:rsid w:val="00042D52"/>
    <w:pPr>
      <w:spacing w:before="120" w:after="120"/>
      <w:jc w:val="both"/>
    </w:pPr>
    <w:rPr>
      <w:rFonts w:ascii="Arial" w:eastAsia="Times New Roman" w:hAnsi="Arial"/>
      <w:kern w:val="0"/>
      <w:sz w:val="20"/>
      <w:szCs w:val="20"/>
      <w14:ligatures w14:val="none"/>
    </w:rPr>
  </w:style>
  <w:style w:type="character" w:customStyle="1" w:styleId="CommentTextChar">
    <w:name w:val="Comment Text Char"/>
    <w:basedOn w:val="DefaultParagraphFont"/>
    <w:link w:val="CommentText"/>
    <w:uiPriority w:val="99"/>
    <w:semiHidden/>
    <w:rsid w:val="00042D52"/>
    <w:rPr>
      <w:rFonts w:ascii="Arial" w:eastAsia="Times New Roman"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42D52"/>
    <w:rPr>
      <w:b/>
      <w:bCs/>
    </w:rPr>
  </w:style>
  <w:style w:type="character" w:customStyle="1" w:styleId="CommentSubjectChar">
    <w:name w:val="Comment Subject Char"/>
    <w:basedOn w:val="CommentTextChar"/>
    <w:link w:val="CommentSubject"/>
    <w:uiPriority w:val="99"/>
    <w:semiHidden/>
    <w:rsid w:val="00042D52"/>
    <w:rPr>
      <w:rFonts w:ascii="Arial" w:eastAsia="Times New Roman" w:hAnsi="Arial"/>
      <w:b/>
      <w:bCs/>
      <w:kern w:val="0"/>
      <w:sz w:val="20"/>
      <w:szCs w:val="20"/>
      <w14:ligatures w14:val="none"/>
    </w:rPr>
  </w:style>
  <w:style w:type="character" w:customStyle="1" w:styleId="Doctitle">
    <w:name w:val="Doc title"/>
    <w:uiPriority w:val="99"/>
    <w:semiHidden/>
    <w:unhideWhenUsed/>
    <w:qFormat/>
    <w:locked/>
    <w:rsid w:val="00042D52"/>
    <w:rPr>
      <w:rFonts w:ascii="Arial" w:hAnsi="Arial"/>
      <w:b/>
      <w:sz w:val="22"/>
    </w:rPr>
  </w:style>
  <w:style w:type="paragraph" w:styleId="FootnoteText">
    <w:name w:val="footnote text"/>
    <w:basedOn w:val="NoSpacing"/>
    <w:link w:val="FootnoteTextChar"/>
    <w:uiPriority w:val="98"/>
    <w:rsid w:val="00E91655"/>
    <w:rPr>
      <w:rFonts w:asciiTheme="minorHAnsi" w:hAnsiTheme="minorHAnsi"/>
      <w:sz w:val="18"/>
      <w:szCs w:val="20"/>
    </w:rPr>
  </w:style>
  <w:style w:type="character" w:customStyle="1" w:styleId="FootnoteTextChar">
    <w:name w:val="Footnote Text Char"/>
    <w:basedOn w:val="DefaultParagraphFont"/>
    <w:link w:val="FootnoteText"/>
    <w:uiPriority w:val="98"/>
    <w:rsid w:val="00E91655"/>
    <w:rPr>
      <w:color w:val="000000" w:themeColor="text1"/>
      <w:kern w:val="0"/>
      <w:sz w:val="18"/>
      <w:szCs w:val="20"/>
      <w14:ligatures w14:val="none"/>
    </w:rPr>
  </w:style>
  <w:style w:type="paragraph" w:styleId="EndnoteText">
    <w:name w:val="endnote text"/>
    <w:basedOn w:val="FootnoteText"/>
    <w:link w:val="EndnoteTextChar"/>
    <w:uiPriority w:val="99"/>
    <w:semiHidden/>
    <w:unhideWhenUsed/>
    <w:rsid w:val="00042D52"/>
  </w:style>
  <w:style w:type="character" w:customStyle="1" w:styleId="EndnoteTextChar">
    <w:name w:val="Endnote Text Char"/>
    <w:basedOn w:val="DefaultParagraphFont"/>
    <w:link w:val="EndnoteText"/>
    <w:uiPriority w:val="99"/>
    <w:semiHidden/>
    <w:rsid w:val="00042D52"/>
    <w:rPr>
      <w:rFonts w:ascii="Arial" w:hAnsi="Arial"/>
      <w:color w:val="000000" w:themeColor="text1"/>
      <w:kern w:val="0"/>
      <w:sz w:val="18"/>
      <w:szCs w:val="20"/>
      <w14:ligatures w14:val="none"/>
    </w:rPr>
  </w:style>
  <w:style w:type="character" w:styleId="FootnoteReference">
    <w:name w:val="footnote reference"/>
    <w:basedOn w:val="DefaultParagraphFont"/>
    <w:uiPriority w:val="99"/>
    <w:semiHidden/>
    <w:unhideWhenUsed/>
    <w:rsid w:val="00042D52"/>
    <w:rPr>
      <w:vertAlign w:val="superscript"/>
    </w:rPr>
  </w:style>
  <w:style w:type="paragraph" w:styleId="NormalWeb">
    <w:name w:val="Normal (Web)"/>
    <w:basedOn w:val="Normal"/>
    <w:uiPriority w:val="99"/>
    <w:semiHidden/>
    <w:unhideWhenUsed/>
    <w:rsid w:val="00042D52"/>
    <w:pPr>
      <w:spacing w:before="100" w:beforeAutospacing="1" w:after="100" w:afterAutospacing="1"/>
      <w:jc w:val="both"/>
    </w:pPr>
    <w:rPr>
      <w:rFonts w:ascii="Arial" w:eastAsia="Times New Roman" w:hAnsi="Arial" w:cs="Times New Roman"/>
      <w:kern w:val="0"/>
      <w:szCs w:val="24"/>
      <w:lang w:eastAsia="en-AU"/>
      <w14:ligatures w14:val="none"/>
    </w:rPr>
  </w:style>
  <w:style w:type="table" w:styleId="PlainTable2">
    <w:name w:val="Plain Table 2"/>
    <w:basedOn w:val="TableNormal"/>
    <w:uiPriority w:val="42"/>
    <w:rsid w:val="00042D52"/>
    <w:pPr>
      <w:spacing w:before="120" w:after="0" w:line="240" w:lineRule="auto"/>
    </w:pPr>
    <w:rPr>
      <w:rFonts w:ascii="Arial" w:hAnsi="Arial"/>
      <w:color w:val="000000" w:themeColor="text1"/>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tyleBulletedSymbolsymbolLeft063cmHanging063cm">
    <w:name w:val="Style Bulleted Symbol (symbol) Left:  0.63 cm Hanging:  0.63 cm"/>
    <w:basedOn w:val="NoList"/>
    <w:rsid w:val="00042D52"/>
    <w:pPr>
      <w:numPr>
        <w:numId w:val="16"/>
      </w:numPr>
    </w:pPr>
  </w:style>
  <w:style w:type="numbering" w:customStyle="1" w:styleId="StyleBulletedSymbolsymbolLeft063cmHanging063cm1">
    <w:name w:val="Style Bulleted Symbol (symbol) Left:  0.63 cm Hanging:  0.63 cm1"/>
    <w:basedOn w:val="NoList"/>
    <w:rsid w:val="00042D52"/>
    <w:pPr>
      <w:numPr>
        <w:numId w:val="17"/>
      </w:numPr>
    </w:pPr>
  </w:style>
  <w:style w:type="numbering" w:customStyle="1" w:styleId="StyleNumberedLeft063cmHanging063cm">
    <w:name w:val="Style Numbered Left:  0.63 cm Hanging:  0.63 cm"/>
    <w:basedOn w:val="NoList"/>
    <w:rsid w:val="00042D52"/>
    <w:pPr>
      <w:numPr>
        <w:numId w:val="18"/>
      </w:numPr>
    </w:pPr>
  </w:style>
  <w:style w:type="numbering" w:customStyle="1" w:styleId="StyleNumberedLeft063cmHanging063cm1">
    <w:name w:val="Style Numbered Left:  0.63 cm Hanging:  0.63 cm1"/>
    <w:basedOn w:val="NoList"/>
    <w:rsid w:val="00042D52"/>
    <w:pPr>
      <w:numPr>
        <w:numId w:val="19"/>
      </w:numPr>
    </w:pPr>
  </w:style>
  <w:style w:type="numbering" w:customStyle="1" w:styleId="StyleNumberedLeft063cmHanging063cm2">
    <w:name w:val="Style Numbered Left:  0.63 cm Hanging:  0.63 cm2"/>
    <w:basedOn w:val="NoList"/>
    <w:rsid w:val="00042D52"/>
    <w:pPr>
      <w:numPr>
        <w:numId w:val="20"/>
      </w:numPr>
    </w:pPr>
  </w:style>
  <w:style w:type="numbering" w:customStyle="1" w:styleId="StyleNumberedLeft063cmHanging063cm3">
    <w:name w:val="Style Numbered Left:  0.63 cm Hanging:  0.63 cm3"/>
    <w:basedOn w:val="NoList"/>
    <w:rsid w:val="00042D52"/>
    <w:pPr>
      <w:numPr>
        <w:numId w:val="21"/>
      </w:numPr>
    </w:pPr>
  </w:style>
  <w:style w:type="numbering" w:customStyle="1" w:styleId="StyleOutlinenumberedLeft0cmHanging125cm">
    <w:name w:val="Style Outline numbered Left:  0 cm Hanging:  1.25 cm"/>
    <w:basedOn w:val="NoList"/>
    <w:rsid w:val="00042D52"/>
    <w:pPr>
      <w:numPr>
        <w:numId w:val="22"/>
      </w:numPr>
    </w:pPr>
  </w:style>
  <w:style w:type="numbering" w:customStyle="1" w:styleId="StyleOutlinenumberedLeft0cmHanging125cm1">
    <w:name w:val="Style Outline numbered Left:  0 cm Hanging:  1.25 cm1"/>
    <w:basedOn w:val="NoList"/>
    <w:rsid w:val="00042D52"/>
    <w:pPr>
      <w:numPr>
        <w:numId w:val="23"/>
      </w:numPr>
    </w:pPr>
  </w:style>
  <w:style w:type="numbering" w:customStyle="1" w:styleId="StyleOutlinenumberedLeft0cmHanging125cm2">
    <w:name w:val="Style Outline numbered Left:  0 cm Hanging:  1.25 cm2"/>
    <w:basedOn w:val="NoList"/>
    <w:rsid w:val="00042D52"/>
    <w:pPr>
      <w:numPr>
        <w:numId w:val="24"/>
      </w:numPr>
    </w:pPr>
  </w:style>
  <w:style w:type="numbering" w:customStyle="1" w:styleId="StyleOutlinenumberedLeft0cmHanging125cm3">
    <w:name w:val="Style Outline numbered Left:  0 cm Hanging:  1.25 cm3"/>
    <w:basedOn w:val="NoList"/>
    <w:rsid w:val="00042D52"/>
    <w:pPr>
      <w:numPr>
        <w:numId w:val="25"/>
      </w:numPr>
    </w:pPr>
  </w:style>
  <w:style w:type="table" w:styleId="TableGrid">
    <w:name w:val="Table Grid"/>
    <w:basedOn w:val="TableNormal"/>
    <w:uiPriority w:val="39"/>
    <w:rsid w:val="00042D52"/>
    <w:pPr>
      <w:spacing w:before="120" w:after="0" w:line="240" w:lineRule="auto"/>
    </w:pPr>
    <w:rPr>
      <w:rFonts w:ascii="Arial" w:hAnsi="Arial"/>
      <w:color w:val="000000" w:themeColor="text1"/>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2D52"/>
    <w:pPr>
      <w:spacing w:before="120" w:after="0" w:line="240" w:lineRule="auto"/>
    </w:pPr>
    <w:rPr>
      <w:rFonts w:ascii="Arial" w:hAnsi="Arial"/>
      <w:color w:val="000000" w:themeColor="text1"/>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HeadingL1"/>
    <w:next w:val="Normal"/>
    <w:autoRedefine/>
    <w:uiPriority w:val="39"/>
    <w:unhideWhenUsed/>
    <w:rsid w:val="00042D52"/>
    <w:pPr>
      <w:tabs>
        <w:tab w:val="right" w:leader="dot" w:pos="9628"/>
      </w:tabs>
      <w:spacing w:before="120"/>
      <w:outlineLvl w:val="9"/>
    </w:pPr>
    <w:rPr>
      <w:rFonts w:eastAsiaTheme="minorEastAsia" w:cs="Times New Roman"/>
      <w:lang w:val="en-US"/>
    </w:rPr>
  </w:style>
  <w:style w:type="paragraph" w:styleId="TOC2">
    <w:name w:val="toc 2"/>
    <w:basedOn w:val="HeadingL2"/>
    <w:next w:val="Normal"/>
    <w:autoRedefine/>
    <w:uiPriority w:val="39"/>
    <w:unhideWhenUsed/>
    <w:rsid w:val="00042D52"/>
    <w:pPr>
      <w:spacing w:before="120"/>
      <w:ind w:left="709"/>
      <w:outlineLvl w:val="9"/>
    </w:pPr>
    <w:rPr>
      <w:rFonts w:eastAsiaTheme="minorEastAsia" w:cs="Times New Roman"/>
      <w:lang w:val="en-US"/>
    </w:rPr>
  </w:style>
  <w:style w:type="paragraph" w:styleId="TOC3">
    <w:name w:val="toc 3"/>
    <w:basedOn w:val="HeadingL3"/>
    <w:next w:val="Normal"/>
    <w:autoRedefine/>
    <w:uiPriority w:val="39"/>
    <w:unhideWhenUsed/>
    <w:rsid w:val="00042D52"/>
    <w:pPr>
      <w:spacing w:before="120"/>
      <w:ind w:left="1418"/>
      <w:outlineLvl w:val="9"/>
    </w:pPr>
    <w:rPr>
      <w:rFonts w:eastAsiaTheme="minorEastAsia" w:cs="Times New Roman"/>
      <w:lang w:val="en-US"/>
    </w:rPr>
  </w:style>
  <w:style w:type="paragraph" w:styleId="TOC4">
    <w:name w:val="toc 4"/>
    <w:basedOn w:val="Normal"/>
    <w:next w:val="Normal"/>
    <w:autoRedefine/>
    <w:uiPriority w:val="39"/>
    <w:semiHidden/>
    <w:unhideWhenUsed/>
    <w:rsid w:val="00042D52"/>
    <w:pPr>
      <w:spacing w:before="120" w:after="100"/>
      <w:ind w:left="660"/>
      <w:jc w:val="both"/>
    </w:pPr>
    <w:rPr>
      <w:rFonts w:ascii="Arial" w:eastAsia="Times New Roman" w:hAnsi="Arial"/>
      <w:kern w:val="0"/>
      <w:szCs w:val="24"/>
      <w14:ligatures w14:val="none"/>
    </w:rPr>
  </w:style>
  <w:style w:type="paragraph" w:styleId="TOCHeading">
    <w:name w:val="TOC Heading"/>
    <w:basedOn w:val="HeadingL1"/>
    <w:next w:val="Normal"/>
    <w:uiPriority w:val="39"/>
    <w:unhideWhenUsed/>
    <w:qFormat/>
    <w:rsid w:val="00042D52"/>
    <w:pPr>
      <w:spacing w:line="259" w:lineRule="auto"/>
      <w:outlineLvl w:val="9"/>
    </w:pPr>
    <w:rPr>
      <w:szCs w:val="26"/>
      <w:lang w:val="en-US"/>
    </w:rPr>
  </w:style>
  <w:style w:type="character" w:styleId="UnresolvedMention">
    <w:name w:val="Unresolved Mention"/>
    <w:basedOn w:val="DefaultParagraphFont"/>
    <w:uiPriority w:val="99"/>
    <w:semiHidden/>
    <w:unhideWhenUsed/>
    <w:rsid w:val="00042D52"/>
    <w:rPr>
      <w:color w:val="605E5C"/>
      <w:shd w:val="clear" w:color="auto" w:fill="E1DFDD"/>
    </w:rPr>
  </w:style>
  <w:style w:type="paragraph" w:customStyle="1" w:styleId="Default">
    <w:name w:val="Default"/>
    <w:rsid w:val="00742BEC"/>
    <w:pPr>
      <w:autoSpaceDE w:val="0"/>
      <w:autoSpaceDN w:val="0"/>
      <w:adjustRightInd w:val="0"/>
      <w:spacing w:after="0" w:line="240" w:lineRule="auto"/>
    </w:pPr>
    <w:rPr>
      <w:rFonts w:ascii="YXKCV G+ Area Normal" w:hAnsi="YXKCV G+ Area Normal" w:cs="YXKCV G+ Area Normal"/>
      <w:color w:val="000000"/>
      <w:kern w:val="0"/>
    </w:rPr>
  </w:style>
  <w:style w:type="character" w:styleId="Hyperlink">
    <w:name w:val="Hyperlink"/>
    <w:basedOn w:val="DefaultParagraphFont"/>
    <w:uiPriority w:val="99"/>
    <w:unhideWhenUsed/>
    <w:rsid w:val="00D219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Governance%20&amp;%20Statutory%20Support\LG%20Grants%20Commission\MyCouncil\LGFI%20Technical%20Document%20-%20for%20website%20-%20Feb%202025\LGFI%20Guide%20on%20brande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F32CD6-4CEE-4D0B-8D84-95BE331CACF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37899600-E9B3-4F28-82C3-16C615767735}">
      <dgm:prSet phldrT="[Text]"/>
      <dgm:spPr/>
      <dgm:t>
        <a:bodyPr/>
        <a:lstStyle/>
        <a:p>
          <a:r>
            <a:rPr lang="en-AU"/>
            <a:t>Score</a:t>
          </a:r>
        </a:p>
      </dgm:t>
    </dgm:pt>
    <dgm:pt modelId="{7BEBB869-660F-4E9A-9337-59E39B7929EA}" type="parTrans" cxnId="{64177EFC-D7E9-4936-BF9C-F40A4175B28A}">
      <dgm:prSet/>
      <dgm:spPr/>
      <dgm:t>
        <a:bodyPr/>
        <a:lstStyle/>
        <a:p>
          <a:endParaRPr lang="en-AU"/>
        </a:p>
      </dgm:t>
    </dgm:pt>
    <dgm:pt modelId="{F52ED4B9-A0D4-408D-B7A3-A7CE79EEE866}" type="sibTrans" cxnId="{64177EFC-D7E9-4936-BF9C-F40A4175B28A}">
      <dgm:prSet/>
      <dgm:spPr/>
      <dgm:t>
        <a:bodyPr/>
        <a:lstStyle/>
        <a:p>
          <a:endParaRPr lang="en-AU"/>
        </a:p>
      </dgm:t>
    </dgm:pt>
    <dgm:pt modelId="{50A6765D-E20B-4E3D-8921-995BC07678E6}">
      <dgm:prSet phldrT="[Text]" custT="1"/>
      <dgm:spPr/>
      <dgm:t>
        <a:bodyPr/>
        <a:lstStyle/>
        <a:p>
          <a:r>
            <a:rPr lang="en-AU" sz="800"/>
            <a:t>Scoring Functions</a:t>
          </a:r>
        </a:p>
      </dgm:t>
    </dgm:pt>
    <dgm:pt modelId="{FA738F70-103B-41EA-BB3E-C0AF144F200C}" type="parTrans" cxnId="{620C0072-A5EB-452A-81AA-D6556C5AEC56}">
      <dgm:prSet/>
      <dgm:spPr/>
      <dgm:t>
        <a:bodyPr/>
        <a:lstStyle/>
        <a:p>
          <a:endParaRPr lang="en-AU"/>
        </a:p>
      </dgm:t>
    </dgm:pt>
    <dgm:pt modelId="{C890ED87-1DD6-402A-A13B-91AA7909D307}" type="sibTrans" cxnId="{620C0072-A5EB-452A-81AA-D6556C5AEC56}">
      <dgm:prSet/>
      <dgm:spPr/>
      <dgm:t>
        <a:bodyPr/>
        <a:lstStyle/>
        <a:p>
          <a:endParaRPr lang="en-AU"/>
        </a:p>
      </dgm:t>
    </dgm:pt>
    <dgm:pt modelId="{E9D90F20-3CF8-486C-AA53-EA00BDC3D42F}">
      <dgm:prSet phldrT="[Text]"/>
      <dgm:spPr/>
      <dgm:t>
        <a:bodyPr/>
        <a:lstStyle/>
        <a:p>
          <a:r>
            <a:rPr lang="en-AU"/>
            <a:t>Weights</a:t>
          </a:r>
        </a:p>
      </dgm:t>
    </dgm:pt>
    <dgm:pt modelId="{55E30889-488C-4D7E-B68E-03039AC7BBEC}" type="parTrans" cxnId="{1D689FD6-6648-42AC-AC55-8D55A1509CEA}">
      <dgm:prSet/>
      <dgm:spPr/>
      <dgm:t>
        <a:bodyPr/>
        <a:lstStyle/>
        <a:p>
          <a:endParaRPr lang="en-AU"/>
        </a:p>
      </dgm:t>
    </dgm:pt>
    <dgm:pt modelId="{FCDE6CFD-FAF0-4264-B103-467DDAC2CCA4}" type="sibTrans" cxnId="{1D689FD6-6648-42AC-AC55-8D55A1509CEA}">
      <dgm:prSet/>
      <dgm:spPr/>
      <dgm:t>
        <a:bodyPr/>
        <a:lstStyle/>
        <a:p>
          <a:endParaRPr lang="en-AU"/>
        </a:p>
      </dgm:t>
    </dgm:pt>
    <dgm:pt modelId="{88F6B8F0-60F9-4B18-A42B-A1F135761D2F}">
      <dgm:prSet phldrT="[Text]" custT="1"/>
      <dgm:spPr/>
      <dgm:t>
        <a:bodyPr/>
        <a:lstStyle/>
        <a:p>
          <a:r>
            <a:rPr lang="en-AU" sz="800"/>
            <a:t>Weights</a:t>
          </a:r>
        </a:p>
      </dgm:t>
    </dgm:pt>
    <dgm:pt modelId="{3351FA8A-6792-48C6-ABE9-775EFB43F095}" type="parTrans" cxnId="{ECD8EFA4-EF88-4203-A2E7-41528137296F}">
      <dgm:prSet/>
      <dgm:spPr/>
      <dgm:t>
        <a:bodyPr/>
        <a:lstStyle/>
        <a:p>
          <a:endParaRPr lang="en-AU"/>
        </a:p>
      </dgm:t>
    </dgm:pt>
    <dgm:pt modelId="{6B9C7D43-7D47-4B78-AF3E-C9792BF23A13}" type="sibTrans" cxnId="{ECD8EFA4-EF88-4203-A2E7-41528137296F}">
      <dgm:prSet/>
      <dgm:spPr/>
      <dgm:t>
        <a:bodyPr/>
        <a:lstStyle/>
        <a:p>
          <a:endParaRPr lang="en-AU"/>
        </a:p>
      </dgm:t>
    </dgm:pt>
    <dgm:pt modelId="{BC0DA934-27F1-4B34-848C-E598B7EADD72}">
      <dgm:prSet phldrT="[Text]"/>
      <dgm:spPr/>
      <dgm:t>
        <a:bodyPr/>
        <a:lstStyle/>
        <a:p>
          <a:r>
            <a:rPr lang="en-AU"/>
            <a:t>LGFI</a:t>
          </a:r>
        </a:p>
        <a:p>
          <a:r>
            <a:rPr lang="en-AU"/>
            <a:t>Output</a:t>
          </a:r>
        </a:p>
      </dgm:t>
    </dgm:pt>
    <dgm:pt modelId="{87CADB16-D8E4-4D03-84D7-9D25B23B5FDA}" type="sibTrans" cxnId="{545DC02A-192D-439A-9CDD-08D669145FFE}">
      <dgm:prSet/>
      <dgm:spPr/>
      <dgm:t>
        <a:bodyPr/>
        <a:lstStyle/>
        <a:p>
          <a:endParaRPr lang="en-AU"/>
        </a:p>
      </dgm:t>
    </dgm:pt>
    <dgm:pt modelId="{D65E1CBE-71EC-482E-827D-C80B35B75594}" type="parTrans" cxnId="{545DC02A-192D-439A-9CDD-08D669145FFE}">
      <dgm:prSet/>
      <dgm:spPr/>
      <dgm:t>
        <a:bodyPr/>
        <a:lstStyle/>
        <a:p>
          <a:endParaRPr lang="en-AU"/>
        </a:p>
      </dgm:t>
    </dgm:pt>
    <dgm:pt modelId="{F2B21D19-BC5B-47C9-BEBA-39D9348BC779}">
      <dgm:prSet phldrT="[Text]" custT="1"/>
      <dgm:spPr/>
      <dgm:t>
        <a:bodyPr/>
        <a:lstStyle/>
        <a:p>
          <a:r>
            <a:rPr lang="en-AU" sz="800"/>
            <a:t>Transform  ratio results to numeric scores based on Floor, Benchmark and Cap (range = 1-10)</a:t>
          </a:r>
        </a:p>
      </dgm:t>
    </dgm:pt>
    <dgm:pt modelId="{548E4DAB-97C1-486C-9FCB-895D0D07FAFB}" type="parTrans" cxnId="{584665B7-FA06-41A2-8F84-DFA754398B1F}">
      <dgm:prSet/>
      <dgm:spPr/>
      <dgm:t>
        <a:bodyPr/>
        <a:lstStyle/>
        <a:p>
          <a:endParaRPr lang="en-AU"/>
        </a:p>
      </dgm:t>
    </dgm:pt>
    <dgm:pt modelId="{CBC87F5B-7308-4B69-80EF-E50017763196}" type="sibTrans" cxnId="{584665B7-FA06-41A2-8F84-DFA754398B1F}">
      <dgm:prSet/>
      <dgm:spPr/>
      <dgm:t>
        <a:bodyPr/>
        <a:lstStyle/>
        <a:p>
          <a:endParaRPr lang="en-AU"/>
        </a:p>
      </dgm:t>
    </dgm:pt>
    <dgm:pt modelId="{2F4B9D2C-236D-4CC8-AB1B-CB6A9E855E16}">
      <dgm:prSet phldrT="[Text]" custT="1"/>
      <dgm:spPr/>
      <dgm:t>
        <a:bodyPr/>
        <a:lstStyle/>
        <a:p>
          <a:endParaRPr lang="en-AU" sz="800"/>
        </a:p>
      </dgm:t>
    </dgm:pt>
    <dgm:pt modelId="{138791A0-AEE3-4D28-AD9A-E97154CB8CF4}" type="parTrans" cxnId="{A1A977C0-4198-48EE-8D6F-0412836322D0}">
      <dgm:prSet/>
      <dgm:spPr/>
      <dgm:t>
        <a:bodyPr/>
        <a:lstStyle/>
        <a:p>
          <a:endParaRPr lang="en-AU"/>
        </a:p>
      </dgm:t>
    </dgm:pt>
    <dgm:pt modelId="{E0AE659D-E575-4F46-9FC0-5E5164F9D6F1}" type="sibTrans" cxnId="{A1A977C0-4198-48EE-8D6F-0412836322D0}">
      <dgm:prSet/>
      <dgm:spPr/>
      <dgm:t>
        <a:bodyPr/>
        <a:lstStyle/>
        <a:p>
          <a:endParaRPr lang="en-AU"/>
        </a:p>
      </dgm:t>
    </dgm:pt>
    <dgm:pt modelId="{B6883F27-1DC1-42E4-9F55-94ADB8451210}">
      <dgm:prSet phldrT="[Text]" custT="1"/>
      <dgm:spPr/>
      <dgm:t>
        <a:bodyPr/>
        <a:lstStyle/>
        <a:p>
          <a:r>
            <a:rPr lang="en-AU" sz="800"/>
            <a:t>Weights derived from expert opinion</a:t>
          </a:r>
        </a:p>
      </dgm:t>
    </dgm:pt>
    <dgm:pt modelId="{AD33408E-7AEE-47E9-8B7B-6ECD1D94F868}" type="parTrans" cxnId="{61119E3C-B6B0-4EE4-858F-C63D7B27DE2E}">
      <dgm:prSet/>
      <dgm:spPr/>
      <dgm:t>
        <a:bodyPr/>
        <a:lstStyle/>
        <a:p>
          <a:endParaRPr lang="en-AU"/>
        </a:p>
      </dgm:t>
    </dgm:pt>
    <dgm:pt modelId="{D6DFF80F-031E-47AE-88F9-2A9CDE8EE006}" type="sibTrans" cxnId="{61119E3C-B6B0-4EE4-858F-C63D7B27DE2E}">
      <dgm:prSet/>
      <dgm:spPr/>
      <dgm:t>
        <a:bodyPr/>
        <a:lstStyle/>
        <a:p>
          <a:endParaRPr lang="en-AU"/>
        </a:p>
      </dgm:t>
    </dgm:pt>
    <dgm:pt modelId="{FF019634-816C-4094-9255-9239C4B779E8}">
      <dgm:prSet phldrT="[Text]" custT="1"/>
      <dgm:spPr/>
      <dgm:t>
        <a:bodyPr/>
        <a:lstStyle/>
        <a:p>
          <a:r>
            <a:rPr lang="en-AU" sz="800"/>
            <a:t>Multiply by standardised ratio scores</a:t>
          </a:r>
        </a:p>
      </dgm:t>
    </dgm:pt>
    <dgm:pt modelId="{FF2185E4-8A2C-4CAD-A92B-644233FD83E2}" type="parTrans" cxnId="{66E2A1A1-5991-4344-BB7F-647A25B5C71C}">
      <dgm:prSet/>
      <dgm:spPr/>
      <dgm:t>
        <a:bodyPr/>
        <a:lstStyle/>
        <a:p>
          <a:endParaRPr lang="en-AU"/>
        </a:p>
      </dgm:t>
    </dgm:pt>
    <dgm:pt modelId="{6D7D9897-E71F-4035-998F-177B3D2E54FF}" type="sibTrans" cxnId="{66E2A1A1-5991-4344-BB7F-647A25B5C71C}">
      <dgm:prSet/>
      <dgm:spPr/>
      <dgm:t>
        <a:bodyPr/>
        <a:lstStyle/>
        <a:p>
          <a:endParaRPr lang="en-AU"/>
        </a:p>
      </dgm:t>
    </dgm:pt>
    <dgm:pt modelId="{C35D2C57-D5A4-42B5-9B14-C1E8F94F44CC}">
      <dgm:prSet phldrT="[Text]" custT="1"/>
      <dgm:spPr/>
      <dgm:t>
        <a:bodyPr/>
        <a:lstStyle/>
        <a:p>
          <a:r>
            <a:rPr lang="en-AU" sz="800"/>
            <a:t>Apply scaling factor</a:t>
          </a:r>
        </a:p>
      </dgm:t>
    </dgm:pt>
    <dgm:pt modelId="{B4134D71-27B5-4EE8-A689-5DAD29B4E508}" type="parTrans" cxnId="{B0D258C4-9FE4-407B-81B8-62DF5AC7A9B9}">
      <dgm:prSet/>
      <dgm:spPr/>
      <dgm:t>
        <a:bodyPr/>
        <a:lstStyle/>
        <a:p>
          <a:endParaRPr lang="en-AU"/>
        </a:p>
      </dgm:t>
    </dgm:pt>
    <dgm:pt modelId="{DAC9AECB-FFDB-402C-99BE-BE7F73D1C7C7}" type="sibTrans" cxnId="{B0D258C4-9FE4-407B-81B8-62DF5AC7A9B9}">
      <dgm:prSet/>
      <dgm:spPr/>
      <dgm:t>
        <a:bodyPr/>
        <a:lstStyle/>
        <a:p>
          <a:endParaRPr lang="en-AU"/>
        </a:p>
      </dgm:t>
    </dgm:pt>
    <dgm:pt modelId="{DF3A4324-B81A-4681-8472-3B1561CE6FE6}">
      <dgm:prSet phldrT="[Text]" custT="1"/>
      <dgm:spPr/>
      <dgm:t>
        <a:bodyPr/>
        <a:lstStyle/>
        <a:p>
          <a:r>
            <a:rPr lang="en-AU" sz="800"/>
            <a:t>LGFI Output</a:t>
          </a:r>
        </a:p>
      </dgm:t>
    </dgm:pt>
    <dgm:pt modelId="{841037B3-161F-46E3-8A0C-2749FC150050}" type="sibTrans" cxnId="{0FEB14C9-470F-48BD-9B3A-CAFA8539289E}">
      <dgm:prSet/>
      <dgm:spPr/>
      <dgm:t>
        <a:bodyPr/>
        <a:lstStyle/>
        <a:p>
          <a:endParaRPr lang="en-AU"/>
        </a:p>
      </dgm:t>
    </dgm:pt>
    <dgm:pt modelId="{A44D5B65-7BBF-4778-99D5-5E56F4B13B51}" type="parTrans" cxnId="{0FEB14C9-470F-48BD-9B3A-CAFA8539289E}">
      <dgm:prSet/>
      <dgm:spPr/>
      <dgm:t>
        <a:bodyPr/>
        <a:lstStyle/>
        <a:p>
          <a:endParaRPr lang="en-AU"/>
        </a:p>
      </dgm:t>
    </dgm:pt>
    <dgm:pt modelId="{DBCD18B5-E188-48AA-8908-014B936D86D2}">
      <dgm:prSet phldrT="[Text]" custT="1"/>
      <dgm:spPr/>
      <dgm:t>
        <a:bodyPr/>
        <a:lstStyle/>
        <a:p>
          <a:r>
            <a:rPr lang="en-AU" sz="800"/>
            <a:t>Ratio -&gt; Score x Weight</a:t>
          </a:r>
        </a:p>
      </dgm:t>
    </dgm:pt>
    <dgm:pt modelId="{2426E781-3002-4C7B-AFC9-40088DF26665}" type="sibTrans" cxnId="{C011DF43-04F4-458A-BDC4-69E6EDD99F8F}">
      <dgm:prSet/>
      <dgm:spPr/>
      <dgm:t>
        <a:bodyPr/>
        <a:lstStyle/>
        <a:p>
          <a:endParaRPr lang="en-AU"/>
        </a:p>
      </dgm:t>
    </dgm:pt>
    <dgm:pt modelId="{AF002781-5597-44FE-81C2-BFD9464E929B}" type="parTrans" cxnId="{C011DF43-04F4-458A-BDC4-69E6EDD99F8F}">
      <dgm:prSet/>
      <dgm:spPr/>
      <dgm:t>
        <a:bodyPr/>
        <a:lstStyle/>
        <a:p>
          <a:endParaRPr lang="en-AU"/>
        </a:p>
      </dgm:t>
    </dgm:pt>
    <dgm:pt modelId="{5E5FADA4-D944-4825-9FCB-6B5046705B5A}">
      <dgm:prSet phldrT="[Text]" custT="1"/>
      <dgm:spPr/>
      <dgm:t>
        <a:bodyPr/>
        <a:lstStyle/>
        <a:p>
          <a:r>
            <a:rPr lang="en-AU" sz="800"/>
            <a:t>Generated for each LGA per year</a:t>
          </a:r>
        </a:p>
      </dgm:t>
    </dgm:pt>
    <dgm:pt modelId="{C478A92B-9CC5-4DA5-9746-A0C85FEFA7CB}" type="sibTrans" cxnId="{961FF360-F7FB-4B6C-BC33-2E4432715BDD}">
      <dgm:prSet/>
      <dgm:spPr/>
      <dgm:t>
        <a:bodyPr/>
        <a:lstStyle/>
        <a:p>
          <a:endParaRPr lang="en-AU"/>
        </a:p>
      </dgm:t>
    </dgm:pt>
    <dgm:pt modelId="{24FB0CA5-FF37-46CF-9FC4-87A1F4E11381}" type="parTrans" cxnId="{961FF360-F7FB-4B6C-BC33-2E4432715BDD}">
      <dgm:prSet/>
      <dgm:spPr/>
      <dgm:t>
        <a:bodyPr/>
        <a:lstStyle/>
        <a:p>
          <a:endParaRPr lang="en-AU"/>
        </a:p>
      </dgm:t>
    </dgm:pt>
    <dgm:pt modelId="{F7C97CC3-0BC1-4AF0-B1D9-A80F7F747F5A}">
      <dgm:prSet phldrT="[Text]" custT="1"/>
      <dgm:spPr/>
      <dgm:t>
        <a:bodyPr/>
        <a:lstStyle/>
        <a:p>
          <a:r>
            <a:rPr lang="en-AU" sz="800"/>
            <a:t>Enable comparison between LGAs.</a:t>
          </a:r>
        </a:p>
      </dgm:t>
    </dgm:pt>
    <dgm:pt modelId="{664AF3B4-6935-4904-ACB5-AE6C6995BB96}" type="sibTrans" cxnId="{BFF22070-3815-464C-8E79-CA0E7741C229}">
      <dgm:prSet/>
      <dgm:spPr/>
      <dgm:t>
        <a:bodyPr/>
        <a:lstStyle/>
        <a:p>
          <a:endParaRPr lang="en-AU"/>
        </a:p>
      </dgm:t>
    </dgm:pt>
    <dgm:pt modelId="{AD6C7D9D-E101-44DF-885D-98BC343A1A75}" type="parTrans" cxnId="{BFF22070-3815-464C-8E79-CA0E7741C229}">
      <dgm:prSet/>
      <dgm:spPr/>
      <dgm:t>
        <a:bodyPr/>
        <a:lstStyle/>
        <a:p>
          <a:endParaRPr lang="en-AU"/>
        </a:p>
      </dgm:t>
    </dgm:pt>
    <dgm:pt modelId="{BEA17F1E-2B0B-438A-AA75-6ACED64CDBC5}">
      <dgm:prSet phldrT="[Text]" custT="1"/>
      <dgm:spPr/>
      <dgm:t>
        <a:bodyPr/>
        <a:lstStyle/>
        <a:p>
          <a:endParaRPr lang="en-AU" sz="800"/>
        </a:p>
      </dgm:t>
    </dgm:pt>
    <dgm:pt modelId="{1218B9A5-7B81-42AB-8C63-DD9A7C0E2EFC}" type="sibTrans" cxnId="{4510580F-C9FB-4702-BFD7-A2AE2FC9A204}">
      <dgm:prSet/>
      <dgm:spPr/>
      <dgm:t>
        <a:bodyPr/>
        <a:lstStyle/>
        <a:p>
          <a:endParaRPr lang="en-AU"/>
        </a:p>
      </dgm:t>
    </dgm:pt>
    <dgm:pt modelId="{7EE64114-5579-464D-A731-1C2594EA56EE}" type="parTrans" cxnId="{4510580F-C9FB-4702-BFD7-A2AE2FC9A204}">
      <dgm:prSet/>
      <dgm:spPr/>
      <dgm:t>
        <a:bodyPr/>
        <a:lstStyle/>
        <a:p>
          <a:endParaRPr lang="en-AU"/>
        </a:p>
      </dgm:t>
    </dgm:pt>
    <dgm:pt modelId="{E038AE1B-5621-489F-8BAB-103C9E44A2CA}">
      <dgm:prSet/>
      <dgm:spPr/>
      <dgm:t>
        <a:bodyPr/>
        <a:lstStyle/>
        <a:p>
          <a:r>
            <a:rPr lang="en-AU"/>
            <a:t>Ratio calculation</a:t>
          </a:r>
        </a:p>
      </dgm:t>
    </dgm:pt>
    <dgm:pt modelId="{26DFACD1-A26E-47B6-BAB7-A43A1C7611C9}" type="parTrans" cxnId="{61A2FB74-C2FE-4143-AE1B-811C1EBAFC56}">
      <dgm:prSet/>
      <dgm:spPr/>
      <dgm:t>
        <a:bodyPr/>
        <a:lstStyle/>
        <a:p>
          <a:endParaRPr lang="en-AU"/>
        </a:p>
      </dgm:t>
    </dgm:pt>
    <dgm:pt modelId="{324590FA-B674-460C-8388-8EC74D865830}" type="sibTrans" cxnId="{61A2FB74-C2FE-4143-AE1B-811C1EBAFC56}">
      <dgm:prSet/>
      <dgm:spPr/>
      <dgm:t>
        <a:bodyPr/>
        <a:lstStyle/>
        <a:p>
          <a:endParaRPr lang="en-AU"/>
        </a:p>
      </dgm:t>
    </dgm:pt>
    <dgm:pt modelId="{6B2821D5-6807-4B44-A73A-10412B3DD2C2}">
      <dgm:prSet custT="1"/>
      <dgm:spPr/>
      <dgm:t>
        <a:bodyPr/>
        <a:lstStyle/>
        <a:p>
          <a:r>
            <a:rPr lang="en-AU" sz="800"/>
            <a:t>4 ratios</a:t>
          </a:r>
        </a:p>
      </dgm:t>
    </dgm:pt>
    <dgm:pt modelId="{ECF9ABC5-6973-4E57-B049-D76D91F3ECD0}" type="parTrans" cxnId="{009A45E7-5EE0-457B-BBBF-5E2DBB990E3C}">
      <dgm:prSet/>
      <dgm:spPr/>
      <dgm:t>
        <a:bodyPr/>
        <a:lstStyle/>
        <a:p>
          <a:endParaRPr lang="en-AU"/>
        </a:p>
      </dgm:t>
    </dgm:pt>
    <dgm:pt modelId="{CEC54549-A55B-4398-AB8C-1310B4CD175A}" type="sibTrans" cxnId="{009A45E7-5EE0-457B-BBBF-5E2DBB990E3C}">
      <dgm:prSet/>
      <dgm:spPr/>
      <dgm:t>
        <a:bodyPr/>
        <a:lstStyle/>
        <a:p>
          <a:endParaRPr lang="en-AU"/>
        </a:p>
      </dgm:t>
    </dgm:pt>
    <dgm:pt modelId="{920B17D3-EDC0-4C2F-8DB0-56EB6A43E044}">
      <dgm:prSet custT="1"/>
      <dgm:spPr/>
      <dgm:t>
        <a:bodyPr/>
        <a:lstStyle/>
        <a:p>
          <a:r>
            <a:rPr lang="en-AU" sz="800"/>
            <a:t>Current Ratio</a:t>
          </a:r>
        </a:p>
      </dgm:t>
    </dgm:pt>
    <dgm:pt modelId="{07538620-B771-4021-82CE-66E7FC7103C2}" type="parTrans" cxnId="{DB284730-C807-4929-972C-2F558A415890}">
      <dgm:prSet/>
      <dgm:spPr/>
      <dgm:t>
        <a:bodyPr/>
        <a:lstStyle/>
        <a:p>
          <a:endParaRPr lang="en-AU"/>
        </a:p>
      </dgm:t>
    </dgm:pt>
    <dgm:pt modelId="{70EED5D6-4B51-4663-9F7C-4D4A0CB88234}" type="sibTrans" cxnId="{DB284730-C807-4929-972C-2F558A415890}">
      <dgm:prSet/>
      <dgm:spPr/>
      <dgm:t>
        <a:bodyPr/>
        <a:lstStyle/>
        <a:p>
          <a:endParaRPr lang="en-AU"/>
        </a:p>
      </dgm:t>
    </dgm:pt>
    <dgm:pt modelId="{CD253097-1A26-4353-AFF6-2F742CA7E9B4}">
      <dgm:prSet custT="1"/>
      <dgm:spPr/>
      <dgm:t>
        <a:bodyPr/>
        <a:lstStyle/>
        <a:p>
          <a:r>
            <a:rPr lang="en-AU" sz="800"/>
            <a:t>Debt Service Coverage Ratio</a:t>
          </a:r>
        </a:p>
      </dgm:t>
    </dgm:pt>
    <dgm:pt modelId="{55A50A04-ABD7-4342-A525-41C8FA333C9D}" type="parTrans" cxnId="{A64E51D0-5AD8-42FE-880E-65A5E1FD730D}">
      <dgm:prSet/>
      <dgm:spPr/>
      <dgm:t>
        <a:bodyPr/>
        <a:lstStyle/>
        <a:p>
          <a:endParaRPr lang="en-AU"/>
        </a:p>
      </dgm:t>
    </dgm:pt>
    <dgm:pt modelId="{B36C73D5-6E35-4A37-862C-5416C00D321C}" type="sibTrans" cxnId="{A64E51D0-5AD8-42FE-880E-65A5E1FD730D}">
      <dgm:prSet/>
      <dgm:spPr/>
      <dgm:t>
        <a:bodyPr/>
        <a:lstStyle/>
        <a:p>
          <a:endParaRPr lang="en-AU"/>
        </a:p>
      </dgm:t>
    </dgm:pt>
    <dgm:pt modelId="{56D6C0CB-37CF-4FD8-95AA-A0D552F46077}">
      <dgm:prSet custT="1"/>
      <dgm:spPr/>
      <dgm:t>
        <a:bodyPr/>
        <a:lstStyle/>
        <a:p>
          <a:r>
            <a:rPr lang="en-AU" sz="800"/>
            <a:t>Operating Surplus Ratio</a:t>
          </a:r>
        </a:p>
      </dgm:t>
    </dgm:pt>
    <dgm:pt modelId="{EB3F95A0-5D43-4365-88BB-245D74C31B77}" type="parTrans" cxnId="{CAF6B6F4-E560-4B7D-A184-EC938E49A44D}">
      <dgm:prSet/>
      <dgm:spPr/>
      <dgm:t>
        <a:bodyPr/>
        <a:lstStyle/>
        <a:p>
          <a:endParaRPr lang="en-AU"/>
        </a:p>
      </dgm:t>
    </dgm:pt>
    <dgm:pt modelId="{6CF3A0FD-18C5-4ED9-86D0-92C22FE9A0F3}" type="sibTrans" cxnId="{CAF6B6F4-E560-4B7D-A184-EC938E49A44D}">
      <dgm:prSet/>
      <dgm:spPr/>
      <dgm:t>
        <a:bodyPr/>
        <a:lstStyle/>
        <a:p>
          <a:endParaRPr lang="en-AU"/>
        </a:p>
      </dgm:t>
    </dgm:pt>
    <dgm:pt modelId="{850EC921-D0ED-464C-AB4D-574F9D1ADC87}">
      <dgm:prSet custT="1"/>
      <dgm:spPr/>
      <dgm:t>
        <a:bodyPr/>
        <a:lstStyle/>
        <a:p>
          <a:r>
            <a:rPr lang="en-AU" sz="800"/>
            <a:t>Net Financial Liabilities Ratio</a:t>
          </a:r>
        </a:p>
      </dgm:t>
    </dgm:pt>
    <dgm:pt modelId="{2E9685A8-986C-4326-B869-C0C792541DC5}" type="parTrans" cxnId="{B19174E8-6F08-4773-9F28-77DB0FE0EC5C}">
      <dgm:prSet/>
      <dgm:spPr/>
      <dgm:t>
        <a:bodyPr/>
        <a:lstStyle/>
        <a:p>
          <a:endParaRPr lang="en-AU"/>
        </a:p>
      </dgm:t>
    </dgm:pt>
    <dgm:pt modelId="{AF0BA4F4-E158-4C44-AE46-7F55CF868CB4}" type="sibTrans" cxnId="{B19174E8-6F08-4773-9F28-77DB0FE0EC5C}">
      <dgm:prSet/>
      <dgm:spPr/>
      <dgm:t>
        <a:bodyPr/>
        <a:lstStyle/>
        <a:p>
          <a:endParaRPr lang="en-AU"/>
        </a:p>
      </dgm:t>
    </dgm:pt>
    <dgm:pt modelId="{DF1B8607-4692-415C-B699-A1A5FAC09E51}" type="pres">
      <dgm:prSet presAssocID="{31F32CD6-4CEE-4D0B-8D84-95BE331CACFE}" presName="linearFlow" presStyleCnt="0">
        <dgm:presLayoutVars>
          <dgm:dir/>
          <dgm:animLvl val="lvl"/>
          <dgm:resizeHandles val="exact"/>
        </dgm:presLayoutVars>
      </dgm:prSet>
      <dgm:spPr/>
    </dgm:pt>
    <dgm:pt modelId="{379485BE-6D3B-416E-AB7C-87398F90CD2D}" type="pres">
      <dgm:prSet presAssocID="{E038AE1B-5621-489F-8BAB-103C9E44A2CA}" presName="composite" presStyleCnt="0"/>
      <dgm:spPr/>
    </dgm:pt>
    <dgm:pt modelId="{EA013E0B-0AE3-4AC9-BDED-8E5CC6EB36F1}" type="pres">
      <dgm:prSet presAssocID="{E038AE1B-5621-489F-8BAB-103C9E44A2CA}" presName="parentText" presStyleLbl="alignNode1" presStyleIdx="0" presStyleCnt="4">
        <dgm:presLayoutVars>
          <dgm:chMax val="1"/>
          <dgm:bulletEnabled val="1"/>
        </dgm:presLayoutVars>
      </dgm:prSet>
      <dgm:spPr/>
    </dgm:pt>
    <dgm:pt modelId="{64722DBF-29A8-4887-9516-631E7135A2C3}" type="pres">
      <dgm:prSet presAssocID="{E038AE1B-5621-489F-8BAB-103C9E44A2CA}" presName="descendantText" presStyleLbl="alignAcc1" presStyleIdx="0" presStyleCnt="4">
        <dgm:presLayoutVars>
          <dgm:bulletEnabled val="1"/>
        </dgm:presLayoutVars>
      </dgm:prSet>
      <dgm:spPr/>
    </dgm:pt>
    <dgm:pt modelId="{1B4E4F63-B107-49B9-B2AF-E7C9FC22AEEB}" type="pres">
      <dgm:prSet presAssocID="{324590FA-B674-460C-8388-8EC74D865830}" presName="sp" presStyleCnt="0"/>
      <dgm:spPr/>
    </dgm:pt>
    <dgm:pt modelId="{22CF7991-66A8-42D4-8CEA-4D929D9E537F}" type="pres">
      <dgm:prSet presAssocID="{37899600-E9B3-4F28-82C3-16C615767735}" presName="composite" presStyleCnt="0"/>
      <dgm:spPr/>
    </dgm:pt>
    <dgm:pt modelId="{7C7B2488-103C-4E2F-9DF8-06BFC0FCEB94}" type="pres">
      <dgm:prSet presAssocID="{37899600-E9B3-4F28-82C3-16C615767735}" presName="parentText" presStyleLbl="alignNode1" presStyleIdx="1" presStyleCnt="4">
        <dgm:presLayoutVars>
          <dgm:chMax val="1"/>
          <dgm:bulletEnabled val="1"/>
        </dgm:presLayoutVars>
      </dgm:prSet>
      <dgm:spPr/>
    </dgm:pt>
    <dgm:pt modelId="{2F729C9E-675A-4990-AAE4-005FBA2408B5}" type="pres">
      <dgm:prSet presAssocID="{37899600-E9B3-4F28-82C3-16C615767735}" presName="descendantText" presStyleLbl="alignAcc1" presStyleIdx="1" presStyleCnt="4">
        <dgm:presLayoutVars>
          <dgm:bulletEnabled val="1"/>
        </dgm:presLayoutVars>
      </dgm:prSet>
      <dgm:spPr/>
    </dgm:pt>
    <dgm:pt modelId="{05DA5CCE-63D7-418A-ADF4-229E4C75A96C}" type="pres">
      <dgm:prSet presAssocID="{F52ED4B9-A0D4-408D-B7A3-A7CE79EEE866}" presName="sp" presStyleCnt="0"/>
      <dgm:spPr/>
    </dgm:pt>
    <dgm:pt modelId="{3537CB71-5F26-46D8-A68B-F2C546B1DED9}" type="pres">
      <dgm:prSet presAssocID="{E9D90F20-3CF8-486C-AA53-EA00BDC3D42F}" presName="composite" presStyleCnt="0"/>
      <dgm:spPr/>
    </dgm:pt>
    <dgm:pt modelId="{ADCAF040-D09D-47A1-9B53-1945E79417D0}" type="pres">
      <dgm:prSet presAssocID="{E9D90F20-3CF8-486C-AA53-EA00BDC3D42F}" presName="parentText" presStyleLbl="alignNode1" presStyleIdx="2" presStyleCnt="4">
        <dgm:presLayoutVars>
          <dgm:chMax val="1"/>
          <dgm:bulletEnabled val="1"/>
        </dgm:presLayoutVars>
      </dgm:prSet>
      <dgm:spPr/>
    </dgm:pt>
    <dgm:pt modelId="{5C0C1872-663C-43C7-A6C9-8ABAF15BE879}" type="pres">
      <dgm:prSet presAssocID="{E9D90F20-3CF8-486C-AA53-EA00BDC3D42F}" presName="descendantText" presStyleLbl="alignAcc1" presStyleIdx="2" presStyleCnt="4">
        <dgm:presLayoutVars>
          <dgm:bulletEnabled val="1"/>
        </dgm:presLayoutVars>
      </dgm:prSet>
      <dgm:spPr/>
    </dgm:pt>
    <dgm:pt modelId="{953C86AC-760A-4EF7-8E7F-C771764A2679}" type="pres">
      <dgm:prSet presAssocID="{FCDE6CFD-FAF0-4264-B103-467DDAC2CCA4}" presName="sp" presStyleCnt="0"/>
      <dgm:spPr/>
    </dgm:pt>
    <dgm:pt modelId="{0FA4E21D-E07F-4576-9014-5AE74591680D}" type="pres">
      <dgm:prSet presAssocID="{BC0DA934-27F1-4B34-848C-E598B7EADD72}" presName="composite" presStyleCnt="0"/>
      <dgm:spPr/>
    </dgm:pt>
    <dgm:pt modelId="{6BB4FA0D-8147-44E5-9CF0-0D3C1511C1DE}" type="pres">
      <dgm:prSet presAssocID="{BC0DA934-27F1-4B34-848C-E598B7EADD72}" presName="parentText" presStyleLbl="alignNode1" presStyleIdx="3" presStyleCnt="4">
        <dgm:presLayoutVars>
          <dgm:chMax val="1"/>
          <dgm:bulletEnabled val="1"/>
        </dgm:presLayoutVars>
      </dgm:prSet>
      <dgm:spPr/>
    </dgm:pt>
    <dgm:pt modelId="{9C54C782-6CB2-4AFF-B23F-37325B1BD206}" type="pres">
      <dgm:prSet presAssocID="{BC0DA934-27F1-4B34-848C-E598B7EADD72}" presName="descendantText" presStyleLbl="alignAcc1" presStyleIdx="3" presStyleCnt="4">
        <dgm:presLayoutVars>
          <dgm:bulletEnabled val="1"/>
        </dgm:presLayoutVars>
      </dgm:prSet>
      <dgm:spPr/>
    </dgm:pt>
  </dgm:ptLst>
  <dgm:cxnLst>
    <dgm:cxn modelId="{65842603-BE08-4ADA-B9CE-D05C11D4CE0A}" type="presOf" srcId="{FF019634-816C-4094-9255-9239C4B779E8}" destId="{5C0C1872-663C-43C7-A6C9-8ABAF15BE879}" srcOrd="0" destOrd="2" presId="urn:microsoft.com/office/officeart/2005/8/layout/chevron2"/>
    <dgm:cxn modelId="{4510580F-C9FB-4702-BFD7-A2AE2FC9A204}" srcId="{BC0DA934-27F1-4B34-848C-E598B7EADD72}" destId="{BEA17F1E-2B0B-438A-AA75-6ACED64CDBC5}" srcOrd="1" destOrd="0" parTransId="{7EE64114-5579-464D-A731-1C2594EA56EE}" sibTransId="{1218B9A5-7B81-42AB-8C63-DD9A7C0E2EFC}"/>
    <dgm:cxn modelId="{6ECE5310-532E-4F2A-98A4-AADEFD847A83}" type="presOf" srcId="{E038AE1B-5621-489F-8BAB-103C9E44A2CA}" destId="{EA013E0B-0AE3-4AC9-BDED-8E5CC6EB36F1}" srcOrd="0" destOrd="0" presId="urn:microsoft.com/office/officeart/2005/8/layout/chevron2"/>
    <dgm:cxn modelId="{1AED5217-6515-463A-9A25-8327CFBB1063}" type="presOf" srcId="{DBCD18B5-E188-48AA-8908-014B936D86D2}" destId="{9C54C782-6CB2-4AFF-B23F-37325B1BD206}" srcOrd="0" destOrd="1" presId="urn:microsoft.com/office/officeart/2005/8/layout/chevron2"/>
    <dgm:cxn modelId="{0D18151C-2E13-41FA-AED3-174C875B86F6}" type="presOf" srcId="{56D6C0CB-37CF-4FD8-95AA-A0D552F46077}" destId="{64722DBF-29A8-4887-9516-631E7135A2C3}" srcOrd="0" destOrd="3" presId="urn:microsoft.com/office/officeart/2005/8/layout/chevron2"/>
    <dgm:cxn modelId="{866D7B1F-BF70-497A-A5F4-5DEC47DC0DFC}" type="presOf" srcId="{F2B21D19-BC5B-47C9-BEBA-39D9348BC779}" destId="{2F729C9E-675A-4990-AAE4-005FBA2408B5}" srcOrd="0" destOrd="1" presId="urn:microsoft.com/office/officeart/2005/8/layout/chevron2"/>
    <dgm:cxn modelId="{545DC02A-192D-439A-9CDD-08D669145FFE}" srcId="{31F32CD6-4CEE-4D0B-8D84-95BE331CACFE}" destId="{BC0DA934-27F1-4B34-848C-E598B7EADD72}" srcOrd="3" destOrd="0" parTransId="{D65E1CBE-71EC-482E-827D-C80B35B75594}" sibTransId="{87CADB16-D8E4-4D03-84D7-9D25B23B5FDA}"/>
    <dgm:cxn modelId="{C474162E-1A0F-47A3-B083-211AB8898A43}" type="presOf" srcId="{CD253097-1A26-4353-AFF6-2F742CA7E9B4}" destId="{64722DBF-29A8-4887-9516-631E7135A2C3}" srcOrd="0" destOrd="2" presId="urn:microsoft.com/office/officeart/2005/8/layout/chevron2"/>
    <dgm:cxn modelId="{DB284730-C807-4929-972C-2F558A415890}" srcId="{6B2821D5-6807-4B44-A73A-10412B3DD2C2}" destId="{920B17D3-EDC0-4C2F-8DB0-56EB6A43E044}" srcOrd="0" destOrd="0" parTransId="{07538620-B771-4021-82CE-66E7FC7103C2}" sibTransId="{70EED5D6-4B51-4663-9F7C-4D4A0CB88234}"/>
    <dgm:cxn modelId="{61119E3C-B6B0-4EE4-858F-C63D7B27DE2E}" srcId="{88F6B8F0-60F9-4B18-A42B-A1F135761D2F}" destId="{B6883F27-1DC1-42E4-9F55-94ADB8451210}" srcOrd="0" destOrd="0" parTransId="{AD33408E-7AEE-47E9-8B7B-6ECD1D94F868}" sibTransId="{D6DFF80F-031E-47AE-88F9-2A9CDE8EE006}"/>
    <dgm:cxn modelId="{961FF360-F7FB-4B6C-BC33-2E4432715BDD}" srcId="{DF3A4324-B81A-4681-8472-3B1561CE6FE6}" destId="{5E5FADA4-D944-4825-9FCB-6B5046705B5A}" srcOrd="1" destOrd="0" parTransId="{24FB0CA5-FF37-46CF-9FC4-87A1F4E11381}" sibTransId="{C478A92B-9CC5-4DA5-9746-A0C85FEFA7CB}"/>
    <dgm:cxn modelId="{C011DF43-04F4-458A-BDC4-69E6EDD99F8F}" srcId="{DF3A4324-B81A-4681-8472-3B1561CE6FE6}" destId="{DBCD18B5-E188-48AA-8908-014B936D86D2}" srcOrd="0" destOrd="0" parTransId="{AF002781-5597-44FE-81C2-BFD9464E929B}" sibTransId="{2426E781-3002-4C7B-AFC9-40088DF26665}"/>
    <dgm:cxn modelId="{0872CE64-EB88-4CD0-8220-0291CBA9020F}" type="presOf" srcId="{DF3A4324-B81A-4681-8472-3B1561CE6FE6}" destId="{9C54C782-6CB2-4AFF-B23F-37325B1BD206}" srcOrd="0" destOrd="0" presId="urn:microsoft.com/office/officeart/2005/8/layout/chevron2"/>
    <dgm:cxn modelId="{A2031A45-1740-4519-B678-BA5244E2FF15}" type="presOf" srcId="{50A6765D-E20B-4E3D-8921-995BC07678E6}" destId="{2F729C9E-675A-4990-AAE4-005FBA2408B5}" srcOrd="0" destOrd="0" presId="urn:microsoft.com/office/officeart/2005/8/layout/chevron2"/>
    <dgm:cxn modelId="{43084848-78F6-4387-8ED9-155573C508D4}" type="presOf" srcId="{850EC921-D0ED-464C-AB4D-574F9D1ADC87}" destId="{64722DBF-29A8-4887-9516-631E7135A2C3}" srcOrd="0" destOrd="4" presId="urn:microsoft.com/office/officeart/2005/8/layout/chevron2"/>
    <dgm:cxn modelId="{A76ECC6C-C506-4E39-8C33-E1D39BA00354}" type="presOf" srcId="{2F4B9D2C-236D-4CC8-AB1B-CB6A9E855E16}" destId="{5C0C1872-663C-43C7-A6C9-8ABAF15BE879}" srcOrd="0" destOrd="4" presId="urn:microsoft.com/office/officeart/2005/8/layout/chevron2"/>
    <dgm:cxn modelId="{90CDEE6D-8A56-46E8-8E65-BB8D60546857}" type="presOf" srcId="{BC0DA934-27F1-4B34-848C-E598B7EADD72}" destId="{6BB4FA0D-8147-44E5-9CF0-0D3C1511C1DE}" srcOrd="0" destOrd="0" presId="urn:microsoft.com/office/officeart/2005/8/layout/chevron2"/>
    <dgm:cxn modelId="{BFF22070-3815-464C-8E79-CA0E7741C229}" srcId="{DF3A4324-B81A-4681-8472-3B1561CE6FE6}" destId="{F7C97CC3-0BC1-4AF0-B1D9-A80F7F747F5A}" srcOrd="2" destOrd="0" parTransId="{AD6C7D9D-E101-44DF-885D-98BC343A1A75}" sibTransId="{664AF3B4-6935-4904-ACB5-AE6C6995BB96}"/>
    <dgm:cxn modelId="{620C0072-A5EB-452A-81AA-D6556C5AEC56}" srcId="{37899600-E9B3-4F28-82C3-16C615767735}" destId="{50A6765D-E20B-4E3D-8921-995BC07678E6}" srcOrd="0" destOrd="0" parTransId="{FA738F70-103B-41EA-BB3E-C0AF144F200C}" sibTransId="{C890ED87-1DD6-402A-A13B-91AA7909D307}"/>
    <dgm:cxn modelId="{61A2FB74-C2FE-4143-AE1B-811C1EBAFC56}" srcId="{31F32CD6-4CEE-4D0B-8D84-95BE331CACFE}" destId="{E038AE1B-5621-489F-8BAB-103C9E44A2CA}" srcOrd="0" destOrd="0" parTransId="{26DFACD1-A26E-47B6-BAB7-A43A1C7611C9}" sibTransId="{324590FA-B674-460C-8388-8EC74D865830}"/>
    <dgm:cxn modelId="{91448894-F958-4E01-98FD-F8EFAF2C1C99}" type="presOf" srcId="{BEA17F1E-2B0B-438A-AA75-6ACED64CDBC5}" destId="{9C54C782-6CB2-4AFF-B23F-37325B1BD206}" srcOrd="0" destOrd="4" presId="urn:microsoft.com/office/officeart/2005/8/layout/chevron2"/>
    <dgm:cxn modelId="{48A4669A-C73A-4417-B9E4-A6AB3A1ABCC6}" type="presOf" srcId="{E9D90F20-3CF8-486C-AA53-EA00BDC3D42F}" destId="{ADCAF040-D09D-47A1-9B53-1945E79417D0}" srcOrd="0" destOrd="0" presId="urn:microsoft.com/office/officeart/2005/8/layout/chevron2"/>
    <dgm:cxn modelId="{66E2A1A1-5991-4344-BB7F-647A25B5C71C}" srcId="{88F6B8F0-60F9-4B18-A42B-A1F135761D2F}" destId="{FF019634-816C-4094-9255-9239C4B779E8}" srcOrd="1" destOrd="0" parTransId="{FF2185E4-8A2C-4CAD-A92B-644233FD83E2}" sibTransId="{6D7D9897-E71F-4035-998F-177B3D2E54FF}"/>
    <dgm:cxn modelId="{ECD8EFA4-EF88-4203-A2E7-41528137296F}" srcId="{E9D90F20-3CF8-486C-AA53-EA00BDC3D42F}" destId="{88F6B8F0-60F9-4B18-A42B-A1F135761D2F}" srcOrd="0" destOrd="0" parTransId="{3351FA8A-6792-48C6-ABE9-775EFB43F095}" sibTransId="{6B9C7D43-7D47-4B78-AF3E-C9792BF23A13}"/>
    <dgm:cxn modelId="{2BCECFAB-7D3B-48D3-BC0B-CCBD34E6D37E}" type="presOf" srcId="{C35D2C57-D5A4-42B5-9B14-C1E8F94F44CC}" destId="{5C0C1872-663C-43C7-A6C9-8ABAF15BE879}" srcOrd="0" destOrd="3" presId="urn:microsoft.com/office/officeart/2005/8/layout/chevron2"/>
    <dgm:cxn modelId="{584665B7-FA06-41A2-8F84-DFA754398B1F}" srcId="{50A6765D-E20B-4E3D-8921-995BC07678E6}" destId="{F2B21D19-BC5B-47C9-BEBA-39D9348BC779}" srcOrd="0" destOrd="0" parTransId="{548E4DAB-97C1-486C-9FCB-895D0D07FAFB}" sibTransId="{CBC87F5B-7308-4B69-80EF-E50017763196}"/>
    <dgm:cxn modelId="{B1D2EAB7-C4DD-464B-900B-D13A99C3247B}" type="presOf" srcId="{88F6B8F0-60F9-4B18-A42B-A1F135761D2F}" destId="{5C0C1872-663C-43C7-A6C9-8ABAF15BE879}" srcOrd="0" destOrd="0" presId="urn:microsoft.com/office/officeart/2005/8/layout/chevron2"/>
    <dgm:cxn modelId="{96E81CBF-61F2-471C-AF94-72FABF8F0F08}" type="presOf" srcId="{B6883F27-1DC1-42E4-9F55-94ADB8451210}" destId="{5C0C1872-663C-43C7-A6C9-8ABAF15BE879}" srcOrd="0" destOrd="1" presId="urn:microsoft.com/office/officeart/2005/8/layout/chevron2"/>
    <dgm:cxn modelId="{A1A977C0-4198-48EE-8D6F-0412836322D0}" srcId="{E9D90F20-3CF8-486C-AA53-EA00BDC3D42F}" destId="{2F4B9D2C-236D-4CC8-AB1B-CB6A9E855E16}" srcOrd="1" destOrd="0" parTransId="{138791A0-AEE3-4D28-AD9A-E97154CB8CF4}" sibTransId="{E0AE659D-E575-4F46-9FC0-5E5164F9D6F1}"/>
    <dgm:cxn modelId="{6E4878E1-7386-48C8-86C5-270594BFEC74}" type="presOf" srcId="{F7C97CC3-0BC1-4AF0-B1D9-A80F7F747F5A}" destId="{9C54C782-6CB2-4AFF-B23F-37325B1BD206}" srcOrd="0" destOrd="3" presId="urn:microsoft.com/office/officeart/2005/8/layout/chevron2"/>
    <dgm:cxn modelId="{B0D258C4-9FE4-407B-81B8-62DF5AC7A9B9}" srcId="{88F6B8F0-60F9-4B18-A42B-A1F135761D2F}" destId="{C35D2C57-D5A4-42B5-9B14-C1E8F94F44CC}" srcOrd="2" destOrd="0" parTransId="{B4134D71-27B5-4EE8-A689-5DAD29B4E508}" sibTransId="{DAC9AECB-FFDB-402C-99BE-BE7F73D1C7C7}"/>
    <dgm:cxn modelId="{009A45E7-5EE0-457B-BBBF-5E2DBB990E3C}" srcId="{E038AE1B-5621-489F-8BAB-103C9E44A2CA}" destId="{6B2821D5-6807-4B44-A73A-10412B3DD2C2}" srcOrd="0" destOrd="0" parTransId="{ECF9ABC5-6973-4E57-B049-D76D91F3ECD0}" sibTransId="{CEC54549-A55B-4398-AB8C-1310B4CD175A}"/>
    <dgm:cxn modelId="{B19174E8-6F08-4773-9F28-77DB0FE0EC5C}" srcId="{6B2821D5-6807-4B44-A73A-10412B3DD2C2}" destId="{850EC921-D0ED-464C-AB4D-574F9D1ADC87}" srcOrd="3" destOrd="0" parTransId="{2E9685A8-986C-4326-B869-C0C792541DC5}" sibTransId="{AF0BA4F4-E158-4C44-AE46-7F55CF868CB4}"/>
    <dgm:cxn modelId="{0FEB14C9-470F-48BD-9B3A-CAFA8539289E}" srcId="{BC0DA934-27F1-4B34-848C-E598B7EADD72}" destId="{DF3A4324-B81A-4681-8472-3B1561CE6FE6}" srcOrd="0" destOrd="0" parTransId="{A44D5B65-7BBF-4778-99D5-5E56F4B13B51}" sibTransId="{841037B3-161F-46E3-8A0C-2749FC150050}"/>
    <dgm:cxn modelId="{B13D9FCA-6BCC-4547-A7BE-5B023BA14146}" type="presOf" srcId="{6B2821D5-6807-4B44-A73A-10412B3DD2C2}" destId="{64722DBF-29A8-4887-9516-631E7135A2C3}" srcOrd="0" destOrd="0" presId="urn:microsoft.com/office/officeart/2005/8/layout/chevron2"/>
    <dgm:cxn modelId="{782F0FEC-FF4A-4982-9434-8883C30E8005}" type="presOf" srcId="{37899600-E9B3-4F28-82C3-16C615767735}" destId="{7C7B2488-103C-4E2F-9DF8-06BFC0FCEB94}" srcOrd="0" destOrd="0" presId="urn:microsoft.com/office/officeart/2005/8/layout/chevron2"/>
    <dgm:cxn modelId="{A64E51D0-5AD8-42FE-880E-65A5E1FD730D}" srcId="{6B2821D5-6807-4B44-A73A-10412B3DD2C2}" destId="{CD253097-1A26-4353-AFF6-2F742CA7E9B4}" srcOrd="1" destOrd="0" parTransId="{55A50A04-ABD7-4342-A525-41C8FA333C9D}" sibTransId="{B36C73D5-6E35-4A37-862C-5416C00D321C}"/>
    <dgm:cxn modelId="{D24029D4-15E2-403F-86C4-DB3502541D05}" type="presOf" srcId="{31F32CD6-4CEE-4D0B-8D84-95BE331CACFE}" destId="{DF1B8607-4692-415C-B699-A1A5FAC09E51}" srcOrd="0" destOrd="0" presId="urn:microsoft.com/office/officeart/2005/8/layout/chevron2"/>
    <dgm:cxn modelId="{CAF6B6F4-E560-4B7D-A184-EC938E49A44D}" srcId="{6B2821D5-6807-4B44-A73A-10412B3DD2C2}" destId="{56D6C0CB-37CF-4FD8-95AA-A0D552F46077}" srcOrd="2" destOrd="0" parTransId="{EB3F95A0-5D43-4365-88BB-245D74C31B77}" sibTransId="{6CF3A0FD-18C5-4ED9-86D0-92C22FE9A0F3}"/>
    <dgm:cxn modelId="{D04CA5D6-BA70-4E48-AE22-B68EC4EE3E1A}" type="presOf" srcId="{5E5FADA4-D944-4825-9FCB-6B5046705B5A}" destId="{9C54C782-6CB2-4AFF-B23F-37325B1BD206}" srcOrd="0" destOrd="2" presId="urn:microsoft.com/office/officeart/2005/8/layout/chevron2"/>
    <dgm:cxn modelId="{CCFFB0F6-F949-495A-8F1B-F7FC393D8E0D}" type="presOf" srcId="{920B17D3-EDC0-4C2F-8DB0-56EB6A43E044}" destId="{64722DBF-29A8-4887-9516-631E7135A2C3}" srcOrd="0" destOrd="1" presId="urn:microsoft.com/office/officeart/2005/8/layout/chevron2"/>
    <dgm:cxn modelId="{1D689FD6-6648-42AC-AC55-8D55A1509CEA}" srcId="{31F32CD6-4CEE-4D0B-8D84-95BE331CACFE}" destId="{E9D90F20-3CF8-486C-AA53-EA00BDC3D42F}" srcOrd="2" destOrd="0" parTransId="{55E30889-488C-4D7E-B68E-03039AC7BBEC}" sibTransId="{FCDE6CFD-FAF0-4264-B103-467DDAC2CCA4}"/>
    <dgm:cxn modelId="{64177EFC-D7E9-4936-BF9C-F40A4175B28A}" srcId="{31F32CD6-4CEE-4D0B-8D84-95BE331CACFE}" destId="{37899600-E9B3-4F28-82C3-16C615767735}" srcOrd="1" destOrd="0" parTransId="{7BEBB869-660F-4E9A-9337-59E39B7929EA}" sibTransId="{F52ED4B9-A0D4-408D-B7A3-A7CE79EEE866}"/>
    <dgm:cxn modelId="{8A15D952-5A60-409C-8B56-76DA00DF993C}" type="presParOf" srcId="{DF1B8607-4692-415C-B699-A1A5FAC09E51}" destId="{379485BE-6D3B-416E-AB7C-87398F90CD2D}" srcOrd="0" destOrd="0" presId="urn:microsoft.com/office/officeart/2005/8/layout/chevron2"/>
    <dgm:cxn modelId="{7B780517-D111-486C-94E3-58B78808BAC9}" type="presParOf" srcId="{379485BE-6D3B-416E-AB7C-87398F90CD2D}" destId="{EA013E0B-0AE3-4AC9-BDED-8E5CC6EB36F1}" srcOrd="0" destOrd="0" presId="urn:microsoft.com/office/officeart/2005/8/layout/chevron2"/>
    <dgm:cxn modelId="{70961F24-3244-4945-BB20-B1E11987F12F}" type="presParOf" srcId="{379485BE-6D3B-416E-AB7C-87398F90CD2D}" destId="{64722DBF-29A8-4887-9516-631E7135A2C3}" srcOrd="1" destOrd="0" presId="urn:microsoft.com/office/officeart/2005/8/layout/chevron2"/>
    <dgm:cxn modelId="{C3A156C1-16F1-4668-B90D-FDD30B26EB51}" type="presParOf" srcId="{DF1B8607-4692-415C-B699-A1A5FAC09E51}" destId="{1B4E4F63-B107-49B9-B2AF-E7C9FC22AEEB}" srcOrd="1" destOrd="0" presId="urn:microsoft.com/office/officeart/2005/8/layout/chevron2"/>
    <dgm:cxn modelId="{6FC8B70C-F33D-48EC-819F-A3C2D0A74D90}" type="presParOf" srcId="{DF1B8607-4692-415C-B699-A1A5FAC09E51}" destId="{22CF7991-66A8-42D4-8CEA-4D929D9E537F}" srcOrd="2" destOrd="0" presId="urn:microsoft.com/office/officeart/2005/8/layout/chevron2"/>
    <dgm:cxn modelId="{8EC384C4-C4AD-47FE-BDDA-BD43CD5D16BB}" type="presParOf" srcId="{22CF7991-66A8-42D4-8CEA-4D929D9E537F}" destId="{7C7B2488-103C-4E2F-9DF8-06BFC0FCEB94}" srcOrd="0" destOrd="0" presId="urn:microsoft.com/office/officeart/2005/8/layout/chevron2"/>
    <dgm:cxn modelId="{6A55D780-935E-4BAE-B615-B1699ECCFABE}" type="presParOf" srcId="{22CF7991-66A8-42D4-8CEA-4D929D9E537F}" destId="{2F729C9E-675A-4990-AAE4-005FBA2408B5}" srcOrd="1" destOrd="0" presId="urn:microsoft.com/office/officeart/2005/8/layout/chevron2"/>
    <dgm:cxn modelId="{642905E3-8FFA-4A63-9112-405BE40A3BDD}" type="presParOf" srcId="{DF1B8607-4692-415C-B699-A1A5FAC09E51}" destId="{05DA5CCE-63D7-418A-ADF4-229E4C75A96C}" srcOrd="3" destOrd="0" presId="urn:microsoft.com/office/officeart/2005/8/layout/chevron2"/>
    <dgm:cxn modelId="{1C67AC44-9C84-424E-B743-063AD53D709C}" type="presParOf" srcId="{DF1B8607-4692-415C-B699-A1A5FAC09E51}" destId="{3537CB71-5F26-46D8-A68B-F2C546B1DED9}" srcOrd="4" destOrd="0" presId="urn:microsoft.com/office/officeart/2005/8/layout/chevron2"/>
    <dgm:cxn modelId="{709B33D5-61AA-4483-A6B5-7B2B107294D4}" type="presParOf" srcId="{3537CB71-5F26-46D8-A68B-F2C546B1DED9}" destId="{ADCAF040-D09D-47A1-9B53-1945E79417D0}" srcOrd="0" destOrd="0" presId="urn:microsoft.com/office/officeart/2005/8/layout/chevron2"/>
    <dgm:cxn modelId="{BAE2B1C2-73EE-4AE0-A73C-20BF337E1C59}" type="presParOf" srcId="{3537CB71-5F26-46D8-A68B-F2C546B1DED9}" destId="{5C0C1872-663C-43C7-A6C9-8ABAF15BE879}" srcOrd="1" destOrd="0" presId="urn:microsoft.com/office/officeart/2005/8/layout/chevron2"/>
    <dgm:cxn modelId="{CA045476-05D3-4051-852A-5885DD75AD00}" type="presParOf" srcId="{DF1B8607-4692-415C-B699-A1A5FAC09E51}" destId="{953C86AC-760A-4EF7-8E7F-C771764A2679}" srcOrd="5" destOrd="0" presId="urn:microsoft.com/office/officeart/2005/8/layout/chevron2"/>
    <dgm:cxn modelId="{84F5A866-C46F-4073-AD6A-51F0854DB0E8}" type="presParOf" srcId="{DF1B8607-4692-415C-B699-A1A5FAC09E51}" destId="{0FA4E21D-E07F-4576-9014-5AE74591680D}" srcOrd="6" destOrd="0" presId="urn:microsoft.com/office/officeart/2005/8/layout/chevron2"/>
    <dgm:cxn modelId="{3FF8F136-E1EC-4DB0-9ABD-7F563BD2DE23}" type="presParOf" srcId="{0FA4E21D-E07F-4576-9014-5AE74591680D}" destId="{6BB4FA0D-8147-44E5-9CF0-0D3C1511C1DE}" srcOrd="0" destOrd="0" presId="urn:microsoft.com/office/officeart/2005/8/layout/chevron2"/>
    <dgm:cxn modelId="{FD31104A-42AE-46D6-B977-0F1B473F1B81}" type="presParOf" srcId="{0FA4E21D-E07F-4576-9014-5AE74591680D}" destId="{9C54C782-6CB2-4AFF-B23F-37325B1BD206}"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013E0B-0AE3-4AC9-BDED-8E5CC6EB36F1}">
      <dsp:nvSpPr>
        <dsp:cNvPr id="0" name=""/>
        <dsp:cNvSpPr/>
      </dsp:nvSpPr>
      <dsp:spPr>
        <a:xfrm rot="5400000">
          <a:off x="-213394" y="222323"/>
          <a:ext cx="1422633" cy="9958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Ratio calculation</a:t>
          </a:r>
        </a:p>
      </dsp:txBody>
      <dsp:txXfrm rot="-5400000">
        <a:off x="2" y="506850"/>
        <a:ext cx="995843" cy="426790"/>
      </dsp:txXfrm>
    </dsp:sp>
    <dsp:sp modelId="{64722DBF-29A8-4887-9516-631E7135A2C3}">
      <dsp:nvSpPr>
        <dsp:cNvPr id="0" name=""/>
        <dsp:cNvSpPr/>
      </dsp:nvSpPr>
      <dsp:spPr>
        <a:xfrm rot="5400000">
          <a:off x="1521465" y="-516694"/>
          <a:ext cx="924711" cy="19759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t>4 ratios</a:t>
          </a:r>
        </a:p>
        <a:p>
          <a:pPr marL="114300" lvl="2" indent="-57150" algn="l" defTabSz="355600">
            <a:lnSpc>
              <a:spcPct val="90000"/>
            </a:lnSpc>
            <a:spcBef>
              <a:spcPct val="0"/>
            </a:spcBef>
            <a:spcAft>
              <a:spcPct val="15000"/>
            </a:spcAft>
            <a:buChar char="•"/>
          </a:pPr>
          <a:r>
            <a:rPr lang="en-AU" sz="800" kern="1200"/>
            <a:t>Current Ratio</a:t>
          </a:r>
        </a:p>
        <a:p>
          <a:pPr marL="114300" lvl="2" indent="-57150" algn="l" defTabSz="355600">
            <a:lnSpc>
              <a:spcPct val="90000"/>
            </a:lnSpc>
            <a:spcBef>
              <a:spcPct val="0"/>
            </a:spcBef>
            <a:spcAft>
              <a:spcPct val="15000"/>
            </a:spcAft>
            <a:buChar char="•"/>
          </a:pPr>
          <a:r>
            <a:rPr lang="en-AU" sz="800" kern="1200"/>
            <a:t>Debt Service Coverage Ratio</a:t>
          </a:r>
        </a:p>
        <a:p>
          <a:pPr marL="114300" lvl="2" indent="-57150" algn="l" defTabSz="355600">
            <a:lnSpc>
              <a:spcPct val="90000"/>
            </a:lnSpc>
            <a:spcBef>
              <a:spcPct val="0"/>
            </a:spcBef>
            <a:spcAft>
              <a:spcPct val="15000"/>
            </a:spcAft>
            <a:buChar char="•"/>
          </a:pPr>
          <a:r>
            <a:rPr lang="en-AU" sz="800" kern="1200"/>
            <a:t>Operating Surplus Ratio</a:t>
          </a:r>
        </a:p>
        <a:p>
          <a:pPr marL="114300" lvl="2" indent="-57150" algn="l" defTabSz="355600">
            <a:lnSpc>
              <a:spcPct val="90000"/>
            </a:lnSpc>
            <a:spcBef>
              <a:spcPct val="0"/>
            </a:spcBef>
            <a:spcAft>
              <a:spcPct val="15000"/>
            </a:spcAft>
            <a:buChar char="•"/>
          </a:pPr>
          <a:r>
            <a:rPr lang="en-AU" sz="800" kern="1200"/>
            <a:t>Net Financial Liabilities Ratio</a:t>
          </a:r>
        </a:p>
      </dsp:txBody>
      <dsp:txXfrm rot="-5400000">
        <a:off x="995843" y="54069"/>
        <a:ext cx="1930815" cy="834429"/>
      </dsp:txXfrm>
    </dsp:sp>
    <dsp:sp modelId="{7C7B2488-103C-4E2F-9DF8-06BFC0FCEB94}">
      <dsp:nvSpPr>
        <dsp:cNvPr id="0" name=""/>
        <dsp:cNvSpPr/>
      </dsp:nvSpPr>
      <dsp:spPr>
        <a:xfrm rot="5400000">
          <a:off x="-213394" y="1431260"/>
          <a:ext cx="1422633" cy="9958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Score</a:t>
          </a:r>
        </a:p>
      </dsp:txBody>
      <dsp:txXfrm rot="-5400000">
        <a:off x="2" y="1715787"/>
        <a:ext cx="995843" cy="426790"/>
      </dsp:txXfrm>
    </dsp:sp>
    <dsp:sp modelId="{2F729C9E-675A-4990-AAE4-005FBA2408B5}">
      <dsp:nvSpPr>
        <dsp:cNvPr id="0" name=""/>
        <dsp:cNvSpPr/>
      </dsp:nvSpPr>
      <dsp:spPr>
        <a:xfrm rot="5400000">
          <a:off x="1521465" y="692242"/>
          <a:ext cx="924711" cy="19759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t>Scoring Functions</a:t>
          </a:r>
        </a:p>
        <a:p>
          <a:pPr marL="114300" lvl="2" indent="-57150" algn="l" defTabSz="355600">
            <a:lnSpc>
              <a:spcPct val="90000"/>
            </a:lnSpc>
            <a:spcBef>
              <a:spcPct val="0"/>
            </a:spcBef>
            <a:spcAft>
              <a:spcPct val="15000"/>
            </a:spcAft>
            <a:buChar char="•"/>
          </a:pPr>
          <a:r>
            <a:rPr lang="en-AU" sz="800" kern="1200"/>
            <a:t>Transform  ratio results to numeric scores based on Floor, Benchmark and Cap (range = 1-10)</a:t>
          </a:r>
        </a:p>
      </dsp:txBody>
      <dsp:txXfrm rot="-5400000">
        <a:off x="995843" y="1263006"/>
        <a:ext cx="1930815" cy="834429"/>
      </dsp:txXfrm>
    </dsp:sp>
    <dsp:sp modelId="{ADCAF040-D09D-47A1-9B53-1945E79417D0}">
      <dsp:nvSpPr>
        <dsp:cNvPr id="0" name=""/>
        <dsp:cNvSpPr/>
      </dsp:nvSpPr>
      <dsp:spPr>
        <a:xfrm rot="5400000">
          <a:off x="-213394" y="2640196"/>
          <a:ext cx="1422633" cy="9958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Weights</a:t>
          </a:r>
        </a:p>
      </dsp:txBody>
      <dsp:txXfrm rot="-5400000">
        <a:off x="2" y="2924723"/>
        <a:ext cx="995843" cy="426790"/>
      </dsp:txXfrm>
    </dsp:sp>
    <dsp:sp modelId="{5C0C1872-663C-43C7-A6C9-8ABAF15BE879}">
      <dsp:nvSpPr>
        <dsp:cNvPr id="0" name=""/>
        <dsp:cNvSpPr/>
      </dsp:nvSpPr>
      <dsp:spPr>
        <a:xfrm rot="5400000">
          <a:off x="1521465" y="1901179"/>
          <a:ext cx="924711" cy="19759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t>Weights</a:t>
          </a:r>
        </a:p>
        <a:p>
          <a:pPr marL="114300" lvl="2" indent="-57150" algn="l" defTabSz="355600">
            <a:lnSpc>
              <a:spcPct val="90000"/>
            </a:lnSpc>
            <a:spcBef>
              <a:spcPct val="0"/>
            </a:spcBef>
            <a:spcAft>
              <a:spcPct val="15000"/>
            </a:spcAft>
            <a:buChar char="•"/>
          </a:pPr>
          <a:r>
            <a:rPr lang="en-AU" sz="800" kern="1200"/>
            <a:t>Weights derived from expert opinion</a:t>
          </a:r>
        </a:p>
        <a:p>
          <a:pPr marL="114300" lvl="2" indent="-57150" algn="l" defTabSz="355600">
            <a:lnSpc>
              <a:spcPct val="90000"/>
            </a:lnSpc>
            <a:spcBef>
              <a:spcPct val="0"/>
            </a:spcBef>
            <a:spcAft>
              <a:spcPct val="15000"/>
            </a:spcAft>
            <a:buChar char="•"/>
          </a:pPr>
          <a:r>
            <a:rPr lang="en-AU" sz="800" kern="1200"/>
            <a:t>Multiply by standardised ratio scores</a:t>
          </a:r>
        </a:p>
        <a:p>
          <a:pPr marL="114300" lvl="2" indent="-57150" algn="l" defTabSz="355600">
            <a:lnSpc>
              <a:spcPct val="90000"/>
            </a:lnSpc>
            <a:spcBef>
              <a:spcPct val="0"/>
            </a:spcBef>
            <a:spcAft>
              <a:spcPct val="15000"/>
            </a:spcAft>
            <a:buChar char="•"/>
          </a:pPr>
          <a:r>
            <a:rPr lang="en-AU" sz="800" kern="1200"/>
            <a:t>Apply scaling factor</a:t>
          </a:r>
        </a:p>
        <a:p>
          <a:pPr marL="57150" lvl="1" indent="-57150" algn="l" defTabSz="355600">
            <a:lnSpc>
              <a:spcPct val="90000"/>
            </a:lnSpc>
            <a:spcBef>
              <a:spcPct val="0"/>
            </a:spcBef>
            <a:spcAft>
              <a:spcPct val="15000"/>
            </a:spcAft>
            <a:buChar char="•"/>
          </a:pPr>
          <a:endParaRPr lang="en-AU" sz="800" kern="1200"/>
        </a:p>
      </dsp:txBody>
      <dsp:txXfrm rot="-5400000">
        <a:off x="995843" y="2471943"/>
        <a:ext cx="1930815" cy="834429"/>
      </dsp:txXfrm>
    </dsp:sp>
    <dsp:sp modelId="{6BB4FA0D-8147-44E5-9CF0-0D3C1511C1DE}">
      <dsp:nvSpPr>
        <dsp:cNvPr id="0" name=""/>
        <dsp:cNvSpPr/>
      </dsp:nvSpPr>
      <dsp:spPr>
        <a:xfrm rot="5400000">
          <a:off x="-213394" y="3849133"/>
          <a:ext cx="1422633" cy="9958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LGFI</a:t>
          </a:r>
        </a:p>
        <a:p>
          <a:pPr marL="0" lvl="0" indent="0" algn="ctr" defTabSz="533400">
            <a:lnSpc>
              <a:spcPct val="90000"/>
            </a:lnSpc>
            <a:spcBef>
              <a:spcPct val="0"/>
            </a:spcBef>
            <a:spcAft>
              <a:spcPct val="35000"/>
            </a:spcAft>
            <a:buNone/>
          </a:pPr>
          <a:r>
            <a:rPr lang="en-AU" sz="1200" kern="1200"/>
            <a:t>Output</a:t>
          </a:r>
        </a:p>
      </dsp:txBody>
      <dsp:txXfrm rot="-5400000">
        <a:off x="2" y="4133660"/>
        <a:ext cx="995843" cy="426790"/>
      </dsp:txXfrm>
    </dsp:sp>
    <dsp:sp modelId="{9C54C782-6CB2-4AFF-B23F-37325B1BD206}">
      <dsp:nvSpPr>
        <dsp:cNvPr id="0" name=""/>
        <dsp:cNvSpPr/>
      </dsp:nvSpPr>
      <dsp:spPr>
        <a:xfrm rot="5400000">
          <a:off x="1521465" y="3110115"/>
          <a:ext cx="924711" cy="19759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t>LGFI Output</a:t>
          </a:r>
        </a:p>
        <a:p>
          <a:pPr marL="114300" lvl="2" indent="-57150" algn="l" defTabSz="355600">
            <a:lnSpc>
              <a:spcPct val="90000"/>
            </a:lnSpc>
            <a:spcBef>
              <a:spcPct val="0"/>
            </a:spcBef>
            <a:spcAft>
              <a:spcPct val="15000"/>
            </a:spcAft>
            <a:buChar char="•"/>
          </a:pPr>
          <a:r>
            <a:rPr lang="en-AU" sz="800" kern="1200"/>
            <a:t>Ratio -&gt; Score x Weight</a:t>
          </a:r>
        </a:p>
        <a:p>
          <a:pPr marL="114300" lvl="2" indent="-57150" algn="l" defTabSz="355600">
            <a:lnSpc>
              <a:spcPct val="90000"/>
            </a:lnSpc>
            <a:spcBef>
              <a:spcPct val="0"/>
            </a:spcBef>
            <a:spcAft>
              <a:spcPct val="15000"/>
            </a:spcAft>
            <a:buChar char="•"/>
          </a:pPr>
          <a:r>
            <a:rPr lang="en-AU" sz="800" kern="1200"/>
            <a:t>Generated for each LGA per year</a:t>
          </a:r>
        </a:p>
        <a:p>
          <a:pPr marL="114300" lvl="2" indent="-57150" algn="l" defTabSz="355600">
            <a:lnSpc>
              <a:spcPct val="90000"/>
            </a:lnSpc>
            <a:spcBef>
              <a:spcPct val="0"/>
            </a:spcBef>
            <a:spcAft>
              <a:spcPct val="15000"/>
            </a:spcAft>
            <a:buChar char="•"/>
          </a:pPr>
          <a:r>
            <a:rPr lang="en-AU" sz="800" kern="1200"/>
            <a:t>Enable comparison between LGAs.</a:t>
          </a:r>
        </a:p>
        <a:p>
          <a:pPr marL="57150" lvl="1" indent="-57150" algn="l" defTabSz="355600">
            <a:lnSpc>
              <a:spcPct val="90000"/>
            </a:lnSpc>
            <a:spcBef>
              <a:spcPct val="0"/>
            </a:spcBef>
            <a:spcAft>
              <a:spcPct val="15000"/>
            </a:spcAft>
            <a:buChar char="•"/>
          </a:pPr>
          <a:endParaRPr lang="en-AU" sz="800" kern="1200"/>
        </a:p>
      </dsp:txBody>
      <dsp:txXfrm rot="-5400000">
        <a:off x="995843" y="3680879"/>
        <a:ext cx="1930815" cy="83442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42ac1-da72-4a5f-a45c-f217c24bbf35">
      <Terms xmlns="http://schemas.microsoft.com/office/infopath/2007/PartnerControls"/>
    </lcf76f155ced4ddcb4097134ff3c332f>
    <Test xmlns="a1c42ac1-da72-4a5f-a45c-f217c24bbf35">
      <Url xsi:nil="true"/>
      <Description xsi:nil="true"/>
    </Test>
    <Publications_x0020_Approval xmlns="a1c42ac1-da72-4a5f-a45c-f217c24bbf35">
      <Url xsi:nil="true"/>
      <Description xsi:nil="true"/>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0d6df6fb-ad0d-4e97-af01-e8bd82d2da2f</TermId>
        </TermInfo>
      </Terms>
    </g2f87d567a5a4b3f827e03b3aff7658a>
    <Document_x0020_Version xmlns="7c4243e2-a04a-41c3-990a-ec09fb90be43" xsi:nil="true"/>
    <DLGC_PublicationDate xmlns="7c4243e2-a04a-41c3-990a-ec09fb90be43">2024-06-20T16:00:00+00:00</DLGC_PublicationDate>
    <g14b902bc6e649298da50bd5c0a99103 xmlns="7c4243e2-a04a-41c3-990a-ec09fb90be4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2d2b80da-f0ee-486e-afd5-f2e908aaa014</TermId>
        </TermInfo>
      </Term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Corporate Communications</TermName>
          <TermId xmlns="http://schemas.microsoft.com/office/infopath/2007/PartnerControls">9129003f-a22c-409c-83cc-2cc558302347</TermId>
        </TermInfo>
      </Terms>
    </kc14b46808ad4ed1ad5513e2154ac6ae>
    <DLGC_BylinePublication xmlns="7c4243e2-a04a-41c3-990a-ec09fb90be43">Used for authoring DLGSC branded reports</DLGC_BylinePublication>
    <Document_x0020_Status xmlns="7c4243e2-a04a-41c3-990a-ec09fb90be43" xsi:nil="true"/>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Corporate Styles</TermName>
          <TermId xmlns="http://schemas.microsoft.com/office/infopath/2007/PartnerControls">6ca8a7b6-8147-4aea-b997-2abcc7049b27</TermId>
        </TermInfo>
      </Terms>
    </e4ef990ae0784d2aa96d0475b7229fef>
    <DLGC_ReviewDatePublication xmlns="7c4243e2-a04a-41c3-990a-ec09fb90be43" xsi:nil="true"/>
    <DLGC_Owner xmlns="7c4243e2-a04a-41c3-990a-ec09fb90be43">
      <UserInfo>
        <DisplayName>Gareth Andersen</DisplayName>
        <AccountId>1282</AccountId>
        <AccountType/>
      </UserInfo>
    </DLGC_Owner>
    <DLGSC_ApprovalAuthority xmlns="7c4243e2-a04a-41c3-990a-ec09fb90be43">SharePoint Administrators</DLGSC_ApprovalAuthor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F60A5-0E2F-404F-A9BB-2544A57ED55C}">
  <ds:schemaRefs>
    <ds:schemaRef ds:uri="http://schemas.microsoft.com/sharepoint/v3/contenttype/forms"/>
  </ds:schemaRefs>
</ds:datastoreItem>
</file>

<file path=customXml/itemProps2.xml><?xml version="1.0" encoding="utf-8"?>
<ds:datastoreItem xmlns:ds="http://schemas.openxmlformats.org/officeDocument/2006/customXml" ds:itemID="{950BCB66-9AB6-4F9A-9C09-CEEDCE295E67}">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3.xml><?xml version="1.0" encoding="utf-8"?>
<ds:datastoreItem xmlns:ds="http://schemas.openxmlformats.org/officeDocument/2006/customXml" ds:itemID="{CAD5DDCA-CD8B-470B-A9E7-8F6285BD1600}">
  <ds:schemaRefs>
    <ds:schemaRef ds:uri="http://schemas.openxmlformats.org/officeDocument/2006/bibliography"/>
  </ds:schemaRefs>
</ds:datastoreItem>
</file>

<file path=customXml/itemProps4.xml><?xml version="1.0" encoding="utf-8"?>
<ds:datastoreItem xmlns:ds="http://schemas.openxmlformats.org/officeDocument/2006/customXml" ds:itemID="{61CA3C3B-5FAC-4D1B-945A-CD99E15F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LGFI Guide on branded template</Template>
  <TotalTime>1</TotalTime>
  <Pages>14</Pages>
  <Words>2597</Words>
  <Characters>14336</Characters>
  <Application>Microsoft Office Word</Application>
  <DocSecurity>0</DocSecurity>
  <Lines>623</Lines>
  <Paragraphs>352</Paragraphs>
  <ScaleCrop>false</ScaleCrop>
  <HeadingPairs>
    <vt:vector size="2" baseType="variant">
      <vt:variant>
        <vt:lpstr>Title</vt:lpstr>
      </vt:variant>
      <vt:variant>
        <vt:i4>1</vt:i4>
      </vt:variant>
    </vt:vector>
  </HeadingPairs>
  <TitlesOfParts>
    <vt:vector size="1" baseType="lpstr">
      <vt:lpstr>DLGSC report publication template</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DLGSC report publication template</dc:title>
  <dc:subject/>
  <dc:creator>Shannon Wood</dc:creator>
  <cp:keywords/>
  <dc:description/>
  <cp:lastModifiedBy>Shannon Wood</cp:lastModifiedBy>
  <cp:revision>3</cp:revision>
  <dcterms:created xsi:type="dcterms:W3CDTF">2025-03-10T03:42:00Z</dcterms:created>
  <dcterms:modified xsi:type="dcterms:W3CDTF">2025-03-10T03:42:00Z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94;#Unclassified|0d6df6fb-ad0d-4e97-af01-e8bd82d2da2f</vt:lpwstr>
  </property>
  <property fmtid="{D5CDD505-2E9C-101B-9397-08002B2CF9AE}" pid="4" name="MediaServiceImageTags">
    <vt:lpwstr/>
  </property>
  <property fmtid="{D5CDD505-2E9C-101B-9397-08002B2CF9AE}" pid="5" name="DLGC_DocumentType">
    <vt:lpwstr>327;#Templates|62f77d3c-636a-4492-b6ff-ab1349535b73</vt:lpwstr>
  </property>
  <property fmtid="{D5CDD505-2E9C-101B-9397-08002B2CF9AE}" pid="6" name="DLGC_ActioningArea">
    <vt:lpwstr>341;#Corporate Communications|9129003f-a22c-409c-83cc-2cc558302347</vt:lpwstr>
  </property>
  <property fmtid="{D5CDD505-2E9C-101B-9397-08002B2CF9AE}" pid="7" name="DLGsC_Department">
    <vt:lpwstr>70;#DLGSC|f3fdcf4b-32be-462d-87a8-17c1ee8c10d7</vt:lpwstr>
  </property>
  <property fmtid="{D5CDD505-2E9C-101B-9397-08002B2CF9AE}" pid="8" name="DLGC_Category">
    <vt:lpwstr>48;#Corporate Styles|6ca8a7b6-8147-4aea-b997-2abcc7049b27</vt:lpwstr>
  </property>
  <property fmtid="{D5CDD505-2E9C-101B-9397-08002B2CF9AE}" pid="9" name="dlgsc_DocumentSearchCategory">
    <vt:lpwstr>292;#Other|2d2b80da-f0ee-486e-afd5-f2e908aaa014</vt:lpwstr>
  </property>
  <property fmtid="{D5CDD505-2E9C-101B-9397-08002B2CF9AE}" pid="10" name="TaxCatchAll">
    <vt:lpwstr>48;#Corporate Styles|6ca8a7b6-8147-4aea-b997-2abcc7049b27;#94;#Unclassified|0d6df6fb-ad0d-4e97-af01-e8bd82d2da2f;#327;#Templates|62f77d3c-636a-4492-b6ff-ab1349535b73;#292;#Other|2d2b80da-f0ee-486e-afd5-f2e908aaa014;#70;#DLGSC|f3fdcf4b-32be-462d-87a8-17c1ee8c10d7;#341;#Corporate Communications|9129003f-a22c-409c-83cc-2cc558302347</vt:lpwstr>
  </property>
</Properties>
</file>